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C2F1B" w14:textId="77777777" w:rsidR="006B5634" w:rsidRDefault="000648DA">
      <w:pPr>
        <w:pStyle w:val="FirstParagraph"/>
      </w:pPr>
      <w:r>
        <w:t>[LIBRARY NAME]</w:t>
      </w:r>
    </w:p>
    <w:p w14:paraId="73A804DC" w14:textId="77777777" w:rsidR="006B5634" w:rsidRDefault="000648DA">
      <w:pPr>
        <w:pStyle w:val="Heading1"/>
      </w:pPr>
      <w:bookmarkStart w:id="0" w:name="security-camera-policy"/>
      <w:r>
        <w:t>Security Camera Policy</w:t>
      </w:r>
    </w:p>
    <w:p w14:paraId="0FCF54E6" w14:textId="77777777" w:rsidR="006B5634" w:rsidRDefault="000648DA">
      <w:pPr>
        <w:pStyle w:val="FirstParagraph"/>
      </w:pPr>
      <w:r>
        <w:rPr>
          <w:b/>
          <w:bCs/>
          <w:highlight w:val="yellow"/>
        </w:rPr>
        <w:t>POLICY NOTE</w:t>
      </w:r>
      <w:r>
        <w:rPr>
          <w:highlight w:val="yellow"/>
        </w:rPr>
        <w:t>: Bracketed, highlighted text like this is a policy note. Policy notes explain why a section is drafted the way it is, flag a decision the organization needs to make, or note something to confirm with counsel or another advisor before adoption. They are no</w:t>
      </w:r>
      <w:r>
        <w:rPr>
          <w:highlight w:val="yellow"/>
        </w:rPr>
        <w:t>t part of the policy itself. Remove every policy note, including this one, before the board approves the final policy.</w:t>
      </w:r>
    </w:p>
    <w:p w14:paraId="1FF8C177" w14:textId="77777777" w:rsidR="006B5634" w:rsidRDefault="000648DA">
      <w:pPr>
        <w:pStyle w:val="BodyText"/>
      </w:pPr>
      <w:r>
        <w:rPr>
          <w:b/>
          <w:bCs/>
          <w:highlight w:val="yellow"/>
        </w:rPr>
        <w:t>POLICY NOTE</w:t>
      </w:r>
      <w:r>
        <w:rPr>
          <w:highlight w:val="yellow"/>
        </w:rPr>
        <w:t>: SPLIT FROM THE PHOTOGRAPHY AND RECORDING POLICY, July 23, 2026. This policy was previously a section inside the library’s Ph</w:t>
      </w:r>
      <w:r>
        <w:rPr>
          <w:highlight w:val="yellow"/>
        </w:rPr>
        <w:t>otography and Recording Policy. It is now standalone, so the library can review its camera system governance on its own schedule, separate from the five-year review cycle that applies to the Photography and Recording Policy under 8 NYCRR § 90.2. The Photog</w:t>
      </w:r>
      <w:r>
        <w:rPr>
          <w:highlight w:val="yellow"/>
        </w:rPr>
        <w:t>raphy and Recording Policy now cross-references this document instead of restating it. No substantive changes were made to the camera provisions themselves as part of this split.</w:t>
      </w:r>
    </w:p>
    <w:p w14:paraId="2522B7C4" w14:textId="77777777" w:rsidR="006B5634" w:rsidRDefault="000648DA">
      <w:pPr>
        <w:pStyle w:val="Heading2"/>
      </w:pPr>
      <w:bookmarkStart w:id="1" w:name="purpose"/>
      <w:r>
        <w:t>Purpose</w:t>
      </w:r>
    </w:p>
    <w:p w14:paraId="3FF0A342" w14:textId="77777777" w:rsidR="006B5634" w:rsidRDefault="000648DA">
      <w:pPr>
        <w:pStyle w:val="FirstParagraph"/>
      </w:pPr>
      <w:r>
        <w:t>This policy governs the library’s use of security cameras in and arou</w:t>
      </w:r>
      <w:r>
        <w:t>nd library facilities, to protect the safety of patrons, staff, and library property. It covers camera placement, footage access, retention, and disclosure. It works alongside the library’s Photography and Recording Policy, which governs photography and re</w:t>
      </w:r>
      <w:r>
        <w:t>cording by patrons, visitors, and other members of the public.</w:t>
      </w:r>
    </w:p>
    <w:p w14:paraId="0DB3F8A4" w14:textId="77777777" w:rsidR="006B5634" w:rsidRDefault="000648DA">
      <w:pPr>
        <w:pStyle w:val="BodyText"/>
      </w:pPr>
      <w:r>
        <w:t>The library posts notice in every area where security cameras operate.</w:t>
      </w:r>
    </w:p>
    <w:p w14:paraId="4C566100" w14:textId="77777777" w:rsidR="006B5634" w:rsidRDefault="000648DA">
      <w:pPr>
        <w:pStyle w:val="BodyText"/>
      </w:pPr>
      <w:r>
        <w:t xml:space="preserve">Security camera footage is a library record under CPLR § 4509, and receives the same confidentiality protections as other </w:t>
      </w:r>
      <w:r>
        <w:t>patron records.</w:t>
      </w:r>
    </w:p>
    <w:p w14:paraId="28D42A66" w14:textId="77777777" w:rsidR="006B5634" w:rsidRDefault="000648DA">
      <w:pPr>
        <w:pStyle w:val="BodyText"/>
      </w:pPr>
      <w:r>
        <w:rPr>
          <w:b/>
          <w:bCs/>
          <w:highlight w:val="yellow"/>
        </w:rPr>
        <w:t>POLICY NOTE</w:t>
      </w:r>
      <w:r>
        <w:rPr>
          <w:highlight w:val="yellow"/>
        </w:rPr>
        <w:t>: No statute definitively classifies security footage as a library record. Treating it as one is a policy choice, and a defensible one; it positions the library to reject generalized requests for footage on the basis that doing s</w:t>
      </w:r>
      <w:r>
        <w:rPr>
          <w:highlight w:val="yellow"/>
        </w:rPr>
        <w:t>o would violate patron privacy. If the library’s attorney advises a different approach, this section and the FOIL section below need revision. See WNYLRC Ask the Lawyer, “Audio Recording Patrons Without Permission” (October 4, 2023).</w:t>
      </w:r>
    </w:p>
    <w:p w14:paraId="6E6B4605" w14:textId="77777777" w:rsidR="006B5634" w:rsidRDefault="000648DA">
      <w:pPr>
        <w:pStyle w:val="Heading2"/>
      </w:pPr>
      <w:bookmarkStart w:id="2" w:name="camera-placement"/>
      <w:bookmarkEnd w:id="1"/>
      <w:r>
        <w:lastRenderedPageBreak/>
        <w:t>Camera Placement</w:t>
      </w:r>
    </w:p>
    <w:p w14:paraId="246A2C26" w14:textId="77777777" w:rsidR="006B5634" w:rsidRDefault="000648DA">
      <w:pPr>
        <w:pStyle w:val="FirstParagraph"/>
      </w:pPr>
      <w:r>
        <w:t>Camer</w:t>
      </w:r>
      <w:r>
        <w:t>as monitor the areas identified in the floor plan or location list attached to this policy as Exhibit A.</w:t>
      </w:r>
    </w:p>
    <w:p w14:paraId="182C6AE0" w14:textId="77777777" w:rsidR="006B5634" w:rsidRDefault="000648DA">
      <w:pPr>
        <w:pStyle w:val="BodyText"/>
      </w:pPr>
      <w:r>
        <w:t xml:space="preserve">Cameras never monitor the following areas: </w:t>
      </w:r>
      <w:r w:rsidRPr="007903C8">
        <w:rPr>
          <w:highlight w:val="yellow"/>
        </w:rPr>
        <w:t>[LIST EXCLUDED AREAS].</w:t>
      </w:r>
    </w:p>
    <w:p w14:paraId="7B0CC845" w14:textId="77777777" w:rsidR="006B5634" w:rsidRDefault="000648DA">
      <w:pPr>
        <w:pStyle w:val="BodyText"/>
      </w:pPr>
      <w:r>
        <w:t>Cameras do not capture the content of materials a patron accesses, including computer</w:t>
      </w:r>
      <w:r>
        <w:t xml:space="preserve"> screens, reading materials, or other media.</w:t>
      </w:r>
    </w:p>
    <w:p w14:paraId="346C0869" w14:textId="77777777" w:rsidR="006B5634" w:rsidRDefault="000648DA">
      <w:pPr>
        <w:pStyle w:val="BodyText"/>
      </w:pPr>
      <w:r>
        <w:rPr>
          <w:b/>
          <w:bCs/>
          <w:highlight w:val="yellow"/>
        </w:rPr>
        <w:t>POLICY NOTE</w:t>
      </w:r>
      <w:r>
        <w:rPr>
          <w:highlight w:val="yellow"/>
        </w:rPr>
        <w:t>: Attach a floor plan or written list of camera locations as Exhibit A. Affirmatively identify areas the cameras never monitor. Common exclusions include restrooms, reference desks, circulation desks,</w:t>
      </w:r>
      <w:r>
        <w:rPr>
          <w:highlight w:val="yellow"/>
        </w:rPr>
        <w:t xml:space="preserve"> and reading areas. Specificity about placement protects the library if footage use is ever challenged.</w:t>
      </w:r>
    </w:p>
    <w:p w14:paraId="2F8B7C09" w14:textId="77777777" w:rsidR="006B5634" w:rsidRDefault="000648DA">
      <w:pPr>
        <w:pStyle w:val="Heading2"/>
      </w:pPr>
      <w:bookmarkStart w:id="3" w:name="audio-recording-prohibited"/>
      <w:bookmarkEnd w:id="2"/>
      <w:r>
        <w:t>Audio Recording Prohibited</w:t>
      </w:r>
    </w:p>
    <w:p w14:paraId="15224196" w14:textId="77777777" w:rsidR="006B5634" w:rsidRDefault="000648DA">
      <w:pPr>
        <w:pStyle w:val="FirstParagraph"/>
      </w:pPr>
      <w:r>
        <w:t>Security cameras must not record audio. Recording a conversation without the consent of at least one party is Eavesdropping u</w:t>
      </w:r>
      <w:r>
        <w:t>nder NY Penal Law § 250.05, a class E felony. This prohibition applies regardless of the camera system’s technical capabilities. The library director confirms that audio recording is disabled on every camera system in use.</w:t>
      </w:r>
    </w:p>
    <w:p w14:paraId="5E3AC293" w14:textId="77777777" w:rsidR="006B5634" w:rsidRDefault="000648DA">
      <w:pPr>
        <w:pStyle w:val="Heading2"/>
      </w:pPr>
      <w:bookmarkStart w:id="4" w:name="notice-to-patrons"/>
      <w:bookmarkEnd w:id="3"/>
      <w:r>
        <w:t>Notice to Patrons</w:t>
      </w:r>
    </w:p>
    <w:p w14:paraId="0F476C41" w14:textId="77777777" w:rsidR="006B5634" w:rsidRDefault="000648DA">
      <w:pPr>
        <w:pStyle w:val="FirstParagraph"/>
      </w:pPr>
      <w:r>
        <w:t>The library pos</w:t>
      </w:r>
      <w:r>
        <w:t>ts the following notice in every area monitored by security cameras:</w:t>
      </w:r>
    </w:p>
    <w:p w14:paraId="4210ADD7" w14:textId="77777777" w:rsidR="006B5634" w:rsidRDefault="000648DA">
      <w:pPr>
        <w:pStyle w:val="BodyText"/>
      </w:pPr>
      <w:r>
        <w:t>“The library values patron privacy and security. Security cameras monitor this area.”</w:t>
      </w:r>
    </w:p>
    <w:p w14:paraId="14E9DBBD" w14:textId="77777777" w:rsidR="006B5634" w:rsidRDefault="000648DA">
      <w:pPr>
        <w:pStyle w:val="BodyText"/>
      </w:pPr>
      <w:r>
        <w:rPr>
          <w:b/>
          <w:bCs/>
          <w:highlight w:val="yellow"/>
        </w:rPr>
        <w:t>POLICY NOTE</w:t>
      </w:r>
      <w:r>
        <w:rPr>
          <w:highlight w:val="yellow"/>
        </w:rPr>
        <w:t>: The notice language can reflect the tone the library wants to take, and can vary by loca</w:t>
      </w:r>
      <w:r>
        <w:rPr>
          <w:highlight w:val="yellow"/>
        </w:rPr>
        <w:t>tion within the building. The library posts the notice before activating cameras in any area.</w:t>
      </w:r>
    </w:p>
    <w:p w14:paraId="6A9F91D6" w14:textId="77777777" w:rsidR="006B5634" w:rsidRDefault="000648DA">
      <w:pPr>
        <w:pStyle w:val="Heading2"/>
      </w:pPr>
      <w:bookmarkStart w:id="5" w:name="access-to-footage"/>
      <w:bookmarkEnd w:id="4"/>
      <w:r>
        <w:t>Access to Footage</w:t>
      </w:r>
    </w:p>
    <w:p w14:paraId="06AAB715" w14:textId="77777777" w:rsidR="006B5634" w:rsidRDefault="000648DA">
      <w:pPr>
        <w:pStyle w:val="FirstParagraph"/>
      </w:pPr>
      <w:r>
        <w:t>Only the library director or a formally designated staff member may access security camera footage. Access requires authorization from the libra</w:t>
      </w:r>
      <w:r>
        <w:t>ry director or a resolution of the board of trustees.</w:t>
      </w:r>
    </w:p>
    <w:p w14:paraId="5E3E492A" w14:textId="77777777" w:rsidR="006B5634" w:rsidRDefault="000648DA">
      <w:pPr>
        <w:pStyle w:val="BodyText"/>
      </w:pPr>
      <w:r>
        <w:t>Access is limited to the following purposes:</w:t>
      </w:r>
    </w:p>
    <w:p w14:paraId="1689B45D" w14:textId="77777777" w:rsidR="006B5634" w:rsidRDefault="000648DA">
      <w:pPr>
        <w:pStyle w:val="Compact"/>
        <w:numPr>
          <w:ilvl w:val="0"/>
          <w:numId w:val="18"/>
        </w:numPr>
      </w:pPr>
      <w:r>
        <w:lastRenderedPageBreak/>
        <w:t>assessing a safety or security concern on library property</w:t>
      </w:r>
    </w:p>
    <w:p w14:paraId="3BD92109" w14:textId="77777777" w:rsidR="006B5634" w:rsidRDefault="000648DA">
      <w:pPr>
        <w:pStyle w:val="Compact"/>
        <w:numPr>
          <w:ilvl w:val="0"/>
          <w:numId w:val="18"/>
        </w:numPr>
      </w:pPr>
      <w:r>
        <w:t>addressing a Code of Conduct incident that requires documentation or follow-up</w:t>
      </w:r>
    </w:p>
    <w:p w14:paraId="13D53A87" w14:textId="77777777" w:rsidR="006B5634" w:rsidRDefault="000648DA">
      <w:pPr>
        <w:pStyle w:val="Compact"/>
        <w:numPr>
          <w:ilvl w:val="0"/>
          <w:numId w:val="18"/>
        </w:numPr>
      </w:pPr>
      <w:r>
        <w:t>assessing an operat</w:t>
      </w:r>
      <w:r>
        <w:t>ional or facility need</w:t>
      </w:r>
    </w:p>
    <w:p w14:paraId="763301DD" w14:textId="77777777" w:rsidR="006B5634" w:rsidRDefault="000648DA">
      <w:pPr>
        <w:pStyle w:val="Compact"/>
        <w:numPr>
          <w:ilvl w:val="0"/>
          <w:numId w:val="18"/>
        </w:numPr>
      </w:pPr>
      <w:r>
        <w:t>responding to a warrant, subpoena, or litigation hold, as described below</w:t>
      </w:r>
    </w:p>
    <w:p w14:paraId="1DDB7DAA" w14:textId="77777777" w:rsidR="006B5634" w:rsidRDefault="000648DA">
      <w:pPr>
        <w:pStyle w:val="FirstParagraph"/>
      </w:pPr>
      <w:r>
        <w:rPr>
          <w:b/>
          <w:bCs/>
          <w:highlight w:val="yellow"/>
        </w:rPr>
        <w:t>POLICY NOTE</w:t>
      </w:r>
      <w:r>
        <w:rPr>
          <w:highlight w:val="yellow"/>
        </w:rPr>
        <w:t>: Add any additional permitted purposes specific to the library’s operations. Keep the list narrow. The more specific the permitted uses, the easier</w:t>
      </w:r>
      <w:r>
        <w:rPr>
          <w:highlight w:val="yellow"/>
        </w:rPr>
        <w:t xml:space="preserve"> the policy is to enforce consistently.</w:t>
      </w:r>
    </w:p>
    <w:p w14:paraId="08709856" w14:textId="77777777" w:rsidR="006B5634" w:rsidRDefault="000648DA">
      <w:pPr>
        <w:pStyle w:val="Heading2"/>
      </w:pPr>
      <w:bookmarkStart w:id="6" w:name="patron-records-and-foil-requests"/>
      <w:bookmarkEnd w:id="5"/>
      <w:r>
        <w:t>Patron Records and FOIL Requests</w:t>
      </w:r>
    </w:p>
    <w:p w14:paraId="6290C9D9" w14:textId="77777777" w:rsidR="006B5634" w:rsidRDefault="000648DA">
      <w:pPr>
        <w:pStyle w:val="FirstParagraph"/>
      </w:pPr>
      <w:r>
        <w:t>Security recordings that show library users are patron records. The library does not release security footage to any person or entity outside the library in response to a FOIL request.</w:t>
      </w:r>
    </w:p>
    <w:p w14:paraId="679C62EB" w14:textId="77777777" w:rsidR="006B5634" w:rsidRDefault="000648DA">
      <w:pPr>
        <w:pStyle w:val="BodyText"/>
      </w:pPr>
      <w:r>
        <w:rPr>
          <w:b/>
          <w:bCs/>
          <w:highlight w:val="yellow"/>
        </w:rPr>
        <w:t>POLICY NOTE</w:t>
      </w:r>
      <w:r>
        <w:rPr>
          <w:highlight w:val="yellow"/>
        </w:rPr>
        <w:t>: This section can remain as written only if the library has</w:t>
      </w:r>
      <w:r>
        <w:rPr>
          <w:highlight w:val="yellow"/>
        </w:rPr>
        <w:t xml:space="preserve"> decided to treat security recordings as patron library records, as recommended above. If the library takes a different position on this question, revise this section. Consult the library’s attorney before changing this language.</w:t>
      </w:r>
    </w:p>
    <w:p w14:paraId="758BD072" w14:textId="77777777" w:rsidR="006B5634" w:rsidRDefault="000648DA">
      <w:pPr>
        <w:pStyle w:val="Heading2"/>
      </w:pPr>
      <w:bookmarkStart w:id="7" w:name="warrants-subpoenas-and-litigation-holds"/>
      <w:bookmarkEnd w:id="6"/>
      <w:r>
        <w:t>Warrants, Subpoenas, and L</w:t>
      </w:r>
      <w:r>
        <w:t>itigation Holds</w:t>
      </w:r>
    </w:p>
    <w:p w14:paraId="0FC8A804" w14:textId="77777777" w:rsidR="006B5634" w:rsidRDefault="000648DA">
      <w:pPr>
        <w:pStyle w:val="FirstParagraph"/>
      </w:pPr>
      <w:r>
        <w:t>Staff refer a request to disclose or preserve security footage based on a warrant, subpoena, or litigation hold immediately to the library director. The director evaluates the request with the advice of legal counsel before taking any actio</w:t>
      </w:r>
      <w:r>
        <w:t>n.</w:t>
      </w:r>
    </w:p>
    <w:p w14:paraId="1FE26C02" w14:textId="77777777" w:rsidR="006B5634" w:rsidRDefault="000648DA">
      <w:pPr>
        <w:pStyle w:val="BodyText"/>
      </w:pPr>
      <w:r>
        <w:rPr>
          <w:b/>
          <w:bCs/>
          <w:highlight w:val="yellow"/>
        </w:rPr>
        <w:t>POLICY NOTE</w:t>
      </w:r>
      <w:r>
        <w:rPr>
          <w:highlight w:val="yellow"/>
        </w:rPr>
        <w:t>: A litigation hold is a demand, usually from a law office, requiring the library to preserve potential evidence. The subject line typically includes the phrase “litigation hold” or “duty to preserve evidence.” A staff member who receives suc</w:t>
      </w:r>
      <w:r>
        <w:rPr>
          <w:highlight w:val="yellow"/>
        </w:rPr>
        <w:t>h a demand brings it to the director immediately and takes no other action. Do not delete or overwrite any footage once a litigation hold has been received.</w:t>
      </w:r>
    </w:p>
    <w:p w14:paraId="4C56584D" w14:textId="77777777" w:rsidR="006B5634" w:rsidRDefault="000648DA">
      <w:pPr>
        <w:pStyle w:val="Heading2"/>
      </w:pPr>
      <w:bookmarkStart w:id="8" w:name="disclosure-to-law-enforcement"/>
      <w:bookmarkEnd w:id="7"/>
      <w:r>
        <w:t>Disclosure to Law Enforcement</w:t>
      </w:r>
    </w:p>
    <w:p w14:paraId="27865811" w14:textId="77777777" w:rsidR="006B5634" w:rsidRDefault="000648DA">
      <w:pPr>
        <w:pStyle w:val="FirstParagraph"/>
      </w:pPr>
      <w:r>
        <w:t>The library does not share security camera footage with any person or</w:t>
      </w:r>
      <w:r>
        <w:t xml:space="preserve"> entity outside the library except in the following circumstances:</w:t>
      </w:r>
    </w:p>
    <w:p w14:paraId="67ED52B3" w14:textId="77777777" w:rsidR="006B5634" w:rsidRDefault="000648DA">
      <w:pPr>
        <w:pStyle w:val="Compact"/>
        <w:numPr>
          <w:ilvl w:val="0"/>
          <w:numId w:val="19"/>
        </w:numPr>
      </w:pPr>
      <w:r>
        <w:t>a law enforcement agency presents a valid warrant, subpoena, or court order requiring disclosure</w:t>
      </w:r>
    </w:p>
    <w:p w14:paraId="168A84A8" w14:textId="77777777" w:rsidR="006B5634" w:rsidRDefault="000648DA">
      <w:pPr>
        <w:pStyle w:val="Compact"/>
        <w:numPr>
          <w:ilvl w:val="0"/>
          <w:numId w:val="19"/>
        </w:numPr>
      </w:pPr>
      <w:r>
        <w:lastRenderedPageBreak/>
        <w:t>a law enforcement agency requests footage in connection with an imminent threat to life or s</w:t>
      </w:r>
      <w:r>
        <w:t>afety, and the director determines that disclosing the minimum necessary footage is required to address that threat</w:t>
      </w:r>
    </w:p>
    <w:p w14:paraId="5B0FDC86" w14:textId="77777777" w:rsidR="006B5634" w:rsidRDefault="000648DA">
      <w:pPr>
        <w:pStyle w:val="Compact"/>
        <w:numPr>
          <w:ilvl w:val="0"/>
          <w:numId w:val="19"/>
        </w:numPr>
      </w:pPr>
      <w:r>
        <w:t>disclosure is otherwise required by law</w:t>
      </w:r>
    </w:p>
    <w:p w14:paraId="0A8BE310" w14:textId="77777777" w:rsidR="006B5634" w:rsidRDefault="000648DA">
      <w:pPr>
        <w:pStyle w:val="FirstParagraph"/>
      </w:pPr>
      <w:r>
        <w:t>Staff refer a footage request from law enforcement to the director. The director consults with the l</w:t>
      </w:r>
      <w:r>
        <w:t>ibrary’s attorney before disclosing footage in response to any request not supported by a warrant or court order.</w:t>
      </w:r>
    </w:p>
    <w:p w14:paraId="1B8D77D6" w14:textId="77777777" w:rsidR="006B5634" w:rsidRDefault="000648DA">
      <w:pPr>
        <w:pStyle w:val="Heading2"/>
      </w:pPr>
      <w:bookmarkStart w:id="9" w:name="documentation"/>
      <w:bookmarkEnd w:id="8"/>
      <w:r>
        <w:t>Documentation</w:t>
      </w:r>
    </w:p>
    <w:p w14:paraId="1D3B1F51" w14:textId="77777777" w:rsidR="006B5634" w:rsidRDefault="000648DA">
      <w:pPr>
        <w:pStyle w:val="FirstParagraph"/>
      </w:pPr>
      <w:r>
        <w:t>The library documents each instance of footage access or disclosure, including:</w:t>
      </w:r>
    </w:p>
    <w:p w14:paraId="002D2059" w14:textId="77777777" w:rsidR="006B5634" w:rsidRDefault="000648DA">
      <w:pPr>
        <w:pStyle w:val="Compact"/>
        <w:numPr>
          <w:ilvl w:val="0"/>
          <w:numId w:val="20"/>
        </w:numPr>
      </w:pPr>
      <w:r>
        <w:t>the date and</w:t>
      </w:r>
      <w:r>
        <w:t xml:space="preserve"> time of access</w:t>
      </w:r>
    </w:p>
    <w:p w14:paraId="5E3EB977" w14:textId="77777777" w:rsidR="006B5634" w:rsidRDefault="000648DA">
      <w:pPr>
        <w:pStyle w:val="Compact"/>
        <w:numPr>
          <w:ilvl w:val="0"/>
          <w:numId w:val="20"/>
        </w:numPr>
      </w:pPr>
      <w:r>
        <w:t>the name of the staff member who accessed the footage</w:t>
      </w:r>
    </w:p>
    <w:p w14:paraId="275E00D8" w14:textId="77777777" w:rsidR="006B5634" w:rsidRDefault="000648DA">
      <w:pPr>
        <w:pStyle w:val="Compact"/>
        <w:numPr>
          <w:ilvl w:val="0"/>
          <w:numId w:val="20"/>
        </w:numPr>
      </w:pPr>
      <w:r>
        <w:t>the purpose of the access</w:t>
      </w:r>
    </w:p>
    <w:p w14:paraId="5C5334EF" w14:textId="77777777" w:rsidR="006B5634" w:rsidRDefault="000648DA">
      <w:pPr>
        <w:pStyle w:val="Compact"/>
        <w:numPr>
          <w:ilvl w:val="0"/>
          <w:numId w:val="20"/>
        </w:numPr>
      </w:pPr>
      <w:r>
        <w:t>whether footage was shared outside the library, and with whom</w:t>
      </w:r>
    </w:p>
    <w:p w14:paraId="7F22A630" w14:textId="77777777" w:rsidR="006B5634" w:rsidRDefault="000648DA">
      <w:pPr>
        <w:pStyle w:val="FirstParagraph"/>
      </w:pPr>
      <w:r>
        <w:rPr>
          <w:b/>
          <w:bCs/>
          <w:highlight w:val="yellow"/>
        </w:rPr>
        <w:t>POLICY NOTE</w:t>
      </w:r>
      <w:r>
        <w:rPr>
          <w:highlight w:val="yellow"/>
        </w:rPr>
        <w:t>: Identify where the library maintains incident documentation and reference that location here, for example: “The library maintains documentation in the incident log, retained according to the library’s records retention schedule.”</w:t>
      </w:r>
    </w:p>
    <w:p w14:paraId="6F4E78D2" w14:textId="77777777" w:rsidR="006B5634" w:rsidRDefault="000648DA">
      <w:pPr>
        <w:pStyle w:val="Heading2"/>
      </w:pPr>
      <w:bookmarkStart w:id="10" w:name="retention"/>
      <w:bookmarkEnd w:id="9"/>
      <w:r>
        <w:t>Retention</w:t>
      </w:r>
    </w:p>
    <w:p w14:paraId="307DF405" w14:textId="77777777" w:rsidR="006B5634" w:rsidRDefault="000648DA">
      <w:pPr>
        <w:pStyle w:val="FirstParagraph"/>
      </w:pPr>
      <w:r>
        <w:t>The library re</w:t>
      </w:r>
      <w:r>
        <w:t xml:space="preserve">tains security camera footage that is not relevant to a documented incident for </w:t>
      </w:r>
      <w:r w:rsidRPr="0051266F">
        <w:rPr>
          <w:highlight w:val="yellow"/>
        </w:rPr>
        <w:t>[NUMBER]</w:t>
      </w:r>
      <w:r>
        <w:t xml:space="preserve"> days, then deletes or overwrites it.</w:t>
      </w:r>
    </w:p>
    <w:p w14:paraId="6B0734A9" w14:textId="77777777" w:rsidR="006B5634" w:rsidRDefault="000648DA">
      <w:pPr>
        <w:pStyle w:val="BodyText"/>
      </w:pPr>
      <w:r>
        <w:t>Footage that must be retained past the standard period for operational, legal, or archival purposes requires authorization from th</w:t>
      </w:r>
      <w:r>
        <w:t>e library director or a resolution of the board of trustees. The director documents the basis and plan for extended retention.</w:t>
      </w:r>
    </w:p>
    <w:p w14:paraId="0E7C373A" w14:textId="77777777" w:rsidR="006B5634" w:rsidRDefault="000648DA">
      <w:pPr>
        <w:pStyle w:val="BodyText"/>
      </w:pPr>
      <w:r>
        <w:rPr>
          <w:b/>
          <w:bCs/>
          <w:highlight w:val="yellow"/>
        </w:rPr>
        <w:t>POLICY NOTE</w:t>
      </w:r>
      <w:r>
        <w:rPr>
          <w:highlight w:val="yellow"/>
        </w:rPr>
        <w:t>: Choose a retention period appropriate for the library. Common ranges are 30 to 90 days. WNYLRC Ask the Lawyer guidan</w:t>
      </w:r>
      <w:r>
        <w:rPr>
          <w:highlight w:val="yellow"/>
        </w:rPr>
        <w:t>ce references a three-year retention period for footage retained for operational purposes under the Retention and Disposition Schedule for New York Local Government Records (LGS-1). Confirm the applicable schedule with the library’s municipality and attorn</w:t>
      </w:r>
      <w:r>
        <w:rPr>
          <w:highlight w:val="yellow"/>
        </w:rPr>
        <w:t>ey before setting a retention period. A municipal library should confirm whether the municipality’s retention requirements apply to its security footage.</w:t>
      </w:r>
    </w:p>
    <w:p w14:paraId="4E5F5B0D" w14:textId="77777777" w:rsidR="006B5634" w:rsidRDefault="000648DA">
      <w:pPr>
        <w:pStyle w:val="Heading2"/>
      </w:pPr>
      <w:bookmarkStart w:id="11" w:name="annual-operational-review"/>
      <w:bookmarkEnd w:id="10"/>
      <w:r>
        <w:lastRenderedPageBreak/>
        <w:t>Annual Operational Review</w:t>
      </w:r>
    </w:p>
    <w:p w14:paraId="3B34D74B" w14:textId="77777777" w:rsidR="006B5634" w:rsidRDefault="000648DA">
      <w:pPr>
        <w:pStyle w:val="FirstParagraph"/>
      </w:pPr>
      <w:r>
        <w:t>The board reviews, no less than annually, the budget and operational capacit</w:t>
      </w:r>
      <w:r>
        <w:t>y needed to retain, secure, and dispose of security camera footage as this policy requires.</w:t>
      </w:r>
    </w:p>
    <w:p w14:paraId="75341C5A" w14:textId="77777777" w:rsidR="006B5634" w:rsidRDefault="000648DA">
      <w:pPr>
        <w:pStyle w:val="BodyText"/>
      </w:pPr>
      <w:r>
        <w:rPr>
          <w:b/>
          <w:bCs/>
          <w:highlight w:val="yellow"/>
        </w:rPr>
        <w:t>POLICY NOTE</w:t>
      </w:r>
      <w:r>
        <w:rPr>
          <w:highlight w:val="yellow"/>
        </w:rPr>
        <w:t>: WNYLRC Ask the Lawyer guidance recommends an annual review of the camera system’s operational requirements. As camera technology changes, the library s</w:t>
      </w:r>
      <w:r>
        <w:rPr>
          <w:highlight w:val="yellow"/>
        </w:rPr>
        <w:t>hould reassess its capacity to manage retention, disposal, and security of recordings on a regular basis.</w:t>
      </w:r>
    </w:p>
    <w:p w14:paraId="6B30AD2B" w14:textId="77777777" w:rsidR="006B5634" w:rsidRDefault="000648DA">
      <w:pPr>
        <w:pStyle w:val="Heading2"/>
      </w:pPr>
      <w:bookmarkStart w:id="12" w:name="review"/>
      <w:bookmarkEnd w:id="11"/>
      <w:r>
        <w:t>Review</w:t>
      </w:r>
    </w:p>
    <w:p w14:paraId="457029DB" w14:textId="77777777" w:rsidR="006B5634" w:rsidRDefault="000648DA">
      <w:pPr>
        <w:pStyle w:val="FirstParagraph"/>
      </w:pPr>
      <w:r>
        <w:t>The board reviews this policy every five years, per 8 NYCRR § 90.2, separate from the Annual Operational Review above.</w:t>
      </w:r>
    </w:p>
    <w:p w14:paraId="7B028B4D" w14:textId="77777777" w:rsidR="006B5634" w:rsidRDefault="000648DA">
      <w:pPr>
        <w:pStyle w:val="BodyText"/>
      </w:pPr>
      <w:r>
        <w:rPr>
          <w:b/>
          <w:bCs/>
          <w:highlight w:val="yellow"/>
        </w:rPr>
        <w:t>POLICY NOTE</w:t>
      </w:r>
      <w:r>
        <w:rPr>
          <w:highlight w:val="yellow"/>
        </w:rPr>
        <w:t>: Since this is now a standalone policy, the board may instead choose to review the entire policy annually alongside the Annua</w:t>
      </w:r>
      <w:r>
        <w:rPr>
          <w:highlight w:val="yellow"/>
        </w:rPr>
        <w:t>l Operational Review, rather than defaulting to the five-year cycle. Camera technology and vendor practices change quickly enough that some libraries prefer this. Either cycle satisfies 8 NYCRR § 90.2, which sets five years as a maximum, not a fixed requir</w:t>
      </w:r>
      <w:r>
        <w:rPr>
          <w:highlight w:val="yellow"/>
        </w:rPr>
        <w:t>ement.</w:t>
      </w:r>
    </w:p>
    <w:p w14:paraId="2BA6F386" w14:textId="77777777" w:rsidR="006B5634" w:rsidRDefault="000648DA">
      <w:pPr>
        <w:pStyle w:val="Heading2"/>
      </w:pPr>
      <w:bookmarkStart w:id="13" w:name="approval"/>
      <w:bookmarkEnd w:id="12"/>
      <w:r>
        <w:t>Approval</w:t>
      </w:r>
    </w:p>
    <w:p w14:paraId="3ED91A8C" w14:textId="77777777" w:rsidR="006B5634" w:rsidRDefault="000648DA" w:rsidP="0051266F">
      <w:pPr>
        <w:pStyle w:val="ApprovalLine0"/>
        <w:jc w:val="right"/>
      </w:pPr>
      <w:r>
        <w:rPr>
          <w:i/>
          <w:iCs/>
        </w:rPr>
        <w:t>Approved by the [LIBRARY NAME] Board of Trustees on [DATE].</w:t>
      </w:r>
      <w:bookmarkEnd w:id="0"/>
      <w:bookmarkEnd w:id="13"/>
    </w:p>
    <w:sectPr w:rsidR="006B563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37CAE" w14:textId="77777777" w:rsidR="000648DA" w:rsidRDefault="000648DA">
      <w:pPr>
        <w:spacing w:before="0" w:after="0"/>
      </w:pPr>
      <w:r>
        <w:separator/>
      </w:r>
    </w:p>
  </w:endnote>
  <w:endnote w:type="continuationSeparator" w:id="0">
    <w:p w14:paraId="7E969596" w14:textId="77777777" w:rsidR="000648DA" w:rsidRDefault="000648D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089937"/>
      <w:docPartObj>
        <w:docPartGallery w:val="Page Numbers (Bottom of Page)"/>
        <w:docPartUnique/>
      </w:docPartObj>
    </w:sdtPr>
    <w:sdtEndPr>
      <w:rPr>
        <w:noProof/>
      </w:rPr>
    </w:sdtEndPr>
    <w:sdtContent>
      <w:p w14:paraId="0046CADD" w14:textId="77777777" w:rsidR="00871D31" w:rsidRPr="00871D31" w:rsidRDefault="00871D31" w:rsidP="00871D31">
        <w:pPr>
          <w:pStyle w:val="Footer"/>
          <w:jc w:val="right"/>
          <w:rPr>
            <w:noProof/>
          </w:rPr>
        </w:pPr>
        <w:r w:rsidRPr="00871D31">
          <w:fldChar w:fldCharType="begin"/>
        </w:r>
        <w:r w:rsidRPr="00871D31">
          <w:instrText xml:space="preserve"> PAGE   \* MERGEFORMAT </w:instrText>
        </w:r>
        <w:r w:rsidRPr="00871D31">
          <w:fldChar w:fldCharType="separate"/>
        </w:r>
        <w:r w:rsidRPr="00871D31">
          <w:rPr>
            <w:noProof/>
          </w:rPr>
          <w:t>2</w:t>
        </w:r>
        <w:r w:rsidRPr="00871D31">
          <w:rPr>
            <w:noProof/>
          </w:rPr>
          <w:fldChar w:fldCharType="end"/>
        </w:r>
      </w:p>
      <w:p w14:paraId="36E1211B" w14:textId="77777777" w:rsidR="00871D31" w:rsidRDefault="000648DA" w:rsidP="00871D31">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F3D9" w14:textId="77777777" w:rsidR="000648DA" w:rsidRDefault="000648DA">
      <w:pPr>
        <w:spacing w:before="0" w:after="0"/>
      </w:pPr>
      <w:r>
        <w:separator/>
      </w:r>
    </w:p>
  </w:footnote>
  <w:footnote w:type="continuationSeparator" w:id="0">
    <w:p w14:paraId="4C0D7045" w14:textId="77777777" w:rsidR="000648DA" w:rsidRDefault="000648DA">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CFCED28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6412651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2662405"/>
    <w:multiLevelType w:val="multilevel"/>
    <w:tmpl w:val="33B05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E4907"/>
    <w:multiLevelType w:val="multilevel"/>
    <w:tmpl w:val="91B8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3819DA"/>
    <w:multiLevelType w:val="multilevel"/>
    <w:tmpl w:val="FD34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96E92"/>
    <w:multiLevelType w:val="multilevel"/>
    <w:tmpl w:val="5DD4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14098B"/>
    <w:multiLevelType w:val="multilevel"/>
    <w:tmpl w:val="B594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853B16"/>
    <w:multiLevelType w:val="multilevel"/>
    <w:tmpl w:val="FD92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277B5E"/>
    <w:multiLevelType w:val="multilevel"/>
    <w:tmpl w:val="3508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567239"/>
    <w:multiLevelType w:val="multilevel"/>
    <w:tmpl w:val="6982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35B85"/>
    <w:multiLevelType w:val="multilevel"/>
    <w:tmpl w:val="89F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B41674"/>
    <w:multiLevelType w:val="multilevel"/>
    <w:tmpl w:val="438E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EA80665"/>
    <w:multiLevelType w:val="multilevel"/>
    <w:tmpl w:val="DC8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252B6"/>
    <w:multiLevelType w:val="multilevel"/>
    <w:tmpl w:val="B7CE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E16CB5"/>
    <w:multiLevelType w:val="multilevel"/>
    <w:tmpl w:val="6FFE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655E3"/>
    <w:multiLevelType w:val="multilevel"/>
    <w:tmpl w:val="7DCC9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851A7"/>
    <w:multiLevelType w:val="multilevel"/>
    <w:tmpl w:val="810C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872F0F"/>
    <w:multiLevelType w:val="multilevel"/>
    <w:tmpl w:val="3BDC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6"/>
  </w:num>
  <w:num w:numId="4">
    <w:abstractNumId w:val="9"/>
  </w:num>
  <w:num w:numId="5">
    <w:abstractNumId w:val="4"/>
  </w:num>
  <w:num w:numId="6">
    <w:abstractNumId w:val="16"/>
  </w:num>
  <w:num w:numId="7">
    <w:abstractNumId w:val="17"/>
  </w:num>
  <w:num w:numId="8">
    <w:abstractNumId w:val="8"/>
  </w:num>
  <w:num w:numId="9">
    <w:abstractNumId w:val="11"/>
  </w:num>
  <w:num w:numId="10">
    <w:abstractNumId w:val="10"/>
  </w:num>
  <w:num w:numId="11">
    <w:abstractNumId w:val="3"/>
  </w:num>
  <w:num w:numId="12">
    <w:abstractNumId w:val="2"/>
  </w:num>
  <w:num w:numId="13">
    <w:abstractNumId w:val="14"/>
  </w:num>
  <w:num w:numId="14">
    <w:abstractNumId w:val="13"/>
  </w:num>
  <w:num w:numId="15">
    <w:abstractNumId w:val="7"/>
  </w:num>
  <w:num w:numId="16">
    <w:abstractNumId w:val="15"/>
  </w:num>
  <w:num w:numId="17">
    <w:abstractNumId w:val="0"/>
  </w:num>
  <w:num w:numId="18">
    <w:abstractNumId w:val="1"/>
  </w:num>
  <w:num w:numId="19">
    <w:abstractNumId w:val="1"/>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41"/>
    <w:rsid w:val="000648DA"/>
    <w:rsid w:val="000832CE"/>
    <w:rsid w:val="002461C4"/>
    <w:rsid w:val="00293465"/>
    <w:rsid w:val="00363D01"/>
    <w:rsid w:val="0051266F"/>
    <w:rsid w:val="005178D4"/>
    <w:rsid w:val="005428E3"/>
    <w:rsid w:val="006036BB"/>
    <w:rsid w:val="00687E05"/>
    <w:rsid w:val="00694286"/>
    <w:rsid w:val="006B5634"/>
    <w:rsid w:val="006C5783"/>
    <w:rsid w:val="007903C8"/>
    <w:rsid w:val="00871D31"/>
    <w:rsid w:val="00944D94"/>
    <w:rsid w:val="0096013D"/>
    <w:rsid w:val="00A30541"/>
    <w:rsid w:val="00AE5CF0"/>
    <w:rsid w:val="00B0478B"/>
    <w:rsid w:val="00E12CE0"/>
    <w:rsid w:val="00F41867"/>
    <w:rsid w:val="00FB1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F606"/>
  <w15:docId w15:val="{F2487A0D-1544-447C-A6D0-B296CA17F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imes New Roman" w:hAnsi="Segoe UI" w:cs="Segoe U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8E"/>
    <w:pPr>
      <w:spacing w:before="100" w:beforeAutospacing="1" w:after="100" w:afterAutospacing="1" w:line="240" w:lineRule="auto"/>
    </w:pPr>
  </w:style>
  <w:style w:type="paragraph" w:styleId="Heading1">
    <w:name w:val="heading 1"/>
    <w:basedOn w:val="Normal"/>
    <w:next w:val="Normal"/>
    <w:link w:val="Heading1Char"/>
    <w:uiPriority w:val="9"/>
    <w:qFormat/>
    <w:rsid w:val="00FB168E"/>
    <w:pPr>
      <w:outlineLvl w:val="0"/>
    </w:pPr>
    <w:rPr>
      <w:kern w:val="28"/>
      <w:sz w:val="52"/>
      <w:szCs w:val="52"/>
    </w:rPr>
  </w:style>
  <w:style w:type="paragraph" w:styleId="Heading2">
    <w:name w:val="heading 2"/>
    <w:basedOn w:val="Normal"/>
    <w:next w:val="Normal"/>
    <w:link w:val="Heading2Char"/>
    <w:uiPriority w:val="9"/>
    <w:unhideWhenUsed/>
    <w:qFormat/>
    <w:rsid w:val="00FB168E"/>
    <w:pPr>
      <w:outlineLvl w:val="1"/>
    </w:pPr>
    <w:rPr>
      <w:b/>
      <w:bCs/>
      <w:sz w:val="28"/>
      <w:szCs w:val="28"/>
    </w:rPr>
  </w:style>
  <w:style w:type="paragraph" w:styleId="Heading3">
    <w:name w:val="heading 3"/>
    <w:basedOn w:val="Normal"/>
    <w:next w:val="Normal"/>
    <w:link w:val="Heading3Char"/>
    <w:uiPriority w:val="9"/>
    <w:unhideWhenUsed/>
    <w:qFormat/>
    <w:rsid w:val="00FB168E"/>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Normal"/>
    <w:next w:val="Normal"/>
    <w:qFormat/>
  </w:style>
  <w:style w:type="paragraph" w:styleId="BodyText">
    <w:name w:val="Body Text"/>
    <w:basedOn w:val="Normal"/>
    <w:next w:val="Normal"/>
    <w:qFormat/>
  </w:style>
  <w:style w:type="paragraph" w:customStyle="1" w:styleId="Compact">
    <w:name w:val="Compact"/>
    <w:basedOn w:val="Normal"/>
    <w:qFormat/>
    <w:pPr>
      <w:spacing w:before="0" w:beforeAutospacing="0" w:after="0" w:afterAutospacing="0"/>
    </w:pPr>
  </w:style>
  <w:style w:type="paragraph" w:styleId="ListParagraph">
    <w:name w:val="List Paragraph"/>
    <w:basedOn w:val="Normal"/>
    <w:qFormat/>
    <w:pPr>
      <w:spacing w:before="0" w:beforeAutospacing="0" w:after="0" w:afterAutospacing="0"/>
      <w:ind w:left="720"/>
      <w:contextualSpacing/>
    </w:pPr>
  </w:style>
  <w:style w:type="paragraph" w:customStyle="1" w:styleId="ApprovalLine">
    <w:name w:val="Approval Line"/>
    <w:basedOn w:val="Normal"/>
    <w:next w:val="Normal"/>
    <w:qFormat/>
    <w:pPr>
      <w:jc w:val="right"/>
    </w:pPr>
    <w:rPr>
      <w:i/>
      <w:iCs/>
    </w:rPr>
  </w:style>
  <w:style w:type="character" w:customStyle="1" w:styleId="Heading2Char">
    <w:name w:val="Heading 2 Char"/>
    <w:basedOn w:val="DefaultParagraphFont"/>
    <w:link w:val="Heading2"/>
    <w:uiPriority w:val="9"/>
    <w:rsid w:val="00FB168E"/>
    <w:rPr>
      <w:rFonts w:ascii="Segoe UI" w:eastAsia="Times New Roman" w:hAnsi="Segoe UI" w:cs="Segoe UI"/>
      <w:b/>
      <w:bCs/>
      <w:sz w:val="28"/>
      <w:szCs w:val="28"/>
    </w:rPr>
  </w:style>
  <w:style w:type="character" w:customStyle="1" w:styleId="Heading1Char">
    <w:name w:val="Heading 1 Char"/>
    <w:basedOn w:val="DefaultParagraphFont"/>
    <w:link w:val="Heading1"/>
    <w:uiPriority w:val="9"/>
    <w:rsid w:val="00FB168E"/>
    <w:rPr>
      <w:rFonts w:ascii="Segoe UI" w:eastAsia="Times New Roman" w:hAnsi="Segoe UI" w:cs="Segoe UI"/>
      <w:kern w:val="28"/>
      <w:sz w:val="52"/>
      <w:szCs w:val="52"/>
    </w:rPr>
  </w:style>
  <w:style w:type="character" w:customStyle="1" w:styleId="Heading3Char">
    <w:name w:val="Heading 3 Char"/>
    <w:basedOn w:val="DefaultParagraphFont"/>
    <w:link w:val="Heading3"/>
    <w:uiPriority w:val="9"/>
    <w:rsid w:val="00FB168E"/>
    <w:rPr>
      <w:rFonts w:ascii="Segoe UI" w:eastAsia="Times New Roman" w:hAnsi="Segoe UI" w:cs="Segoe UI"/>
      <w:b/>
      <w:bCs/>
      <w:sz w:val="24"/>
      <w:szCs w:val="24"/>
    </w:rPr>
  </w:style>
  <w:style w:type="character" w:styleId="Hyperlink">
    <w:name w:val="Hyperlink"/>
    <w:basedOn w:val="DefaultParagraphFont"/>
    <w:uiPriority w:val="99"/>
    <w:unhideWhenUsed/>
    <w:rsid w:val="00FB168E"/>
    <w:rPr>
      <w:color w:val="0563C1" w:themeColor="hyperlink"/>
      <w:u w:val="single"/>
    </w:rPr>
  </w:style>
  <w:style w:type="character" w:styleId="UnresolvedMention">
    <w:name w:val="Unresolved Mention"/>
    <w:basedOn w:val="DefaultParagraphFont"/>
    <w:uiPriority w:val="99"/>
    <w:semiHidden/>
    <w:unhideWhenUsed/>
    <w:rsid w:val="00FB168E"/>
    <w:rPr>
      <w:color w:val="605E5C"/>
      <w:shd w:val="clear" w:color="auto" w:fill="E1DFDD"/>
    </w:rPr>
  </w:style>
  <w:style w:type="paragraph" w:styleId="Header">
    <w:name w:val="header"/>
    <w:basedOn w:val="Normal"/>
    <w:link w:val="HeaderChar"/>
    <w:uiPriority w:val="99"/>
    <w:unhideWhenUsed/>
    <w:rsid w:val="00871D31"/>
    <w:pPr>
      <w:tabs>
        <w:tab w:val="center" w:pos="4680"/>
        <w:tab w:val="right" w:pos="9360"/>
      </w:tabs>
      <w:spacing w:after="0"/>
    </w:pPr>
  </w:style>
  <w:style w:type="character" w:customStyle="1" w:styleId="HeaderChar">
    <w:name w:val="Header Char"/>
    <w:basedOn w:val="DefaultParagraphFont"/>
    <w:link w:val="Header"/>
    <w:uiPriority w:val="99"/>
    <w:rsid w:val="00871D31"/>
  </w:style>
  <w:style w:type="paragraph" w:styleId="Footer">
    <w:name w:val="footer"/>
    <w:basedOn w:val="Normal"/>
    <w:link w:val="FooterChar"/>
    <w:uiPriority w:val="99"/>
    <w:unhideWhenUsed/>
    <w:rsid w:val="00871D31"/>
    <w:pPr>
      <w:tabs>
        <w:tab w:val="center" w:pos="4680"/>
        <w:tab w:val="right" w:pos="9360"/>
      </w:tabs>
      <w:spacing w:after="0"/>
    </w:pPr>
  </w:style>
  <w:style w:type="character" w:customStyle="1" w:styleId="FooterChar">
    <w:name w:val="Footer Char"/>
    <w:basedOn w:val="DefaultParagraphFont"/>
    <w:link w:val="Footer"/>
    <w:uiPriority w:val="99"/>
    <w:rsid w:val="00871D31"/>
  </w:style>
  <w:style w:type="paragraph" w:customStyle="1" w:styleId="font-claude-response-body">
    <w:name w:val="font-claude-response-body"/>
    <w:basedOn w:val="Normal"/>
    <w:rsid w:val="00B0478B"/>
    <w:rPr>
      <w:rFonts w:ascii="Times New Roman" w:hAnsi="Times New Roman" w:cs="Times New Roman"/>
    </w:rPr>
  </w:style>
  <w:style w:type="character" w:styleId="Strong">
    <w:name w:val="Strong"/>
    <w:basedOn w:val="DefaultParagraphFont"/>
    <w:uiPriority w:val="22"/>
    <w:qFormat/>
    <w:rsid w:val="00B0478B"/>
    <w:rPr>
      <w:b/>
      <w:bCs/>
    </w:rPr>
  </w:style>
  <w:style w:type="paragraph" w:customStyle="1" w:styleId="whitespace-normal">
    <w:name w:val="whitespace-normal"/>
    <w:basedOn w:val="Normal"/>
    <w:rsid w:val="00B0478B"/>
    <w:rPr>
      <w:rFonts w:ascii="Times New Roman" w:hAnsi="Times New Roman" w:cs="Times New Roman"/>
    </w:rPr>
  </w:style>
  <w:style w:type="paragraph" w:customStyle="1" w:styleId="ApprovalLine0">
    <w:name w:val="ApprovalLine"/>
    <w:basedOn w:val="BodyText"/>
    <w:qFormat/>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78049">
      <w:bodyDiv w:val="1"/>
      <w:marLeft w:val="0"/>
      <w:marRight w:val="0"/>
      <w:marTop w:val="0"/>
      <w:marBottom w:val="0"/>
      <w:divBdr>
        <w:top w:val="none" w:sz="0" w:space="0" w:color="auto"/>
        <w:left w:val="none" w:sz="0" w:space="0" w:color="auto"/>
        <w:bottom w:val="none" w:sz="0" w:space="0" w:color="auto"/>
        <w:right w:val="none" w:sz="0" w:space="0" w:color="auto"/>
      </w:divBdr>
    </w:div>
    <w:div w:id="59905188">
      <w:bodyDiv w:val="1"/>
      <w:marLeft w:val="0"/>
      <w:marRight w:val="0"/>
      <w:marTop w:val="0"/>
      <w:marBottom w:val="0"/>
      <w:divBdr>
        <w:top w:val="none" w:sz="0" w:space="0" w:color="auto"/>
        <w:left w:val="none" w:sz="0" w:space="0" w:color="auto"/>
        <w:bottom w:val="none" w:sz="0" w:space="0" w:color="auto"/>
        <w:right w:val="none" w:sz="0" w:space="0" w:color="auto"/>
      </w:divBdr>
    </w:div>
    <w:div w:id="172260489">
      <w:bodyDiv w:val="1"/>
      <w:marLeft w:val="0"/>
      <w:marRight w:val="0"/>
      <w:marTop w:val="0"/>
      <w:marBottom w:val="0"/>
      <w:divBdr>
        <w:top w:val="none" w:sz="0" w:space="0" w:color="auto"/>
        <w:left w:val="none" w:sz="0" w:space="0" w:color="auto"/>
        <w:bottom w:val="none" w:sz="0" w:space="0" w:color="auto"/>
        <w:right w:val="none" w:sz="0" w:space="0" w:color="auto"/>
      </w:divBdr>
    </w:div>
    <w:div w:id="779957192">
      <w:bodyDiv w:val="1"/>
      <w:marLeft w:val="0"/>
      <w:marRight w:val="0"/>
      <w:marTop w:val="0"/>
      <w:marBottom w:val="0"/>
      <w:divBdr>
        <w:top w:val="none" w:sz="0" w:space="0" w:color="auto"/>
        <w:left w:val="none" w:sz="0" w:space="0" w:color="auto"/>
        <w:bottom w:val="none" w:sz="0" w:space="0" w:color="auto"/>
        <w:right w:val="none" w:sz="0" w:space="0" w:color="auto"/>
      </w:divBdr>
    </w:div>
    <w:div w:id="1319577661">
      <w:bodyDiv w:val="1"/>
      <w:marLeft w:val="0"/>
      <w:marRight w:val="0"/>
      <w:marTop w:val="0"/>
      <w:marBottom w:val="0"/>
      <w:divBdr>
        <w:top w:val="none" w:sz="0" w:space="0" w:color="auto"/>
        <w:left w:val="none" w:sz="0" w:space="0" w:color="auto"/>
        <w:bottom w:val="none" w:sz="0" w:space="0" w:color="auto"/>
        <w:right w:val="none" w:sz="0" w:space="0" w:color="auto"/>
      </w:divBdr>
    </w:div>
    <w:div w:id="1335958703">
      <w:bodyDiv w:val="1"/>
      <w:marLeft w:val="0"/>
      <w:marRight w:val="0"/>
      <w:marTop w:val="0"/>
      <w:marBottom w:val="0"/>
      <w:divBdr>
        <w:top w:val="none" w:sz="0" w:space="0" w:color="auto"/>
        <w:left w:val="none" w:sz="0" w:space="0" w:color="auto"/>
        <w:bottom w:val="none" w:sz="0" w:space="0" w:color="auto"/>
        <w:right w:val="none" w:sz="0" w:space="0" w:color="auto"/>
      </w:divBdr>
    </w:div>
    <w:div w:id="1606111241">
      <w:bodyDiv w:val="1"/>
      <w:marLeft w:val="0"/>
      <w:marRight w:val="0"/>
      <w:marTop w:val="0"/>
      <w:marBottom w:val="0"/>
      <w:divBdr>
        <w:top w:val="none" w:sz="0" w:space="0" w:color="auto"/>
        <w:left w:val="none" w:sz="0" w:space="0" w:color="auto"/>
        <w:bottom w:val="none" w:sz="0" w:space="0" w:color="auto"/>
        <w:right w:val="none" w:sz="0" w:space="0" w:color="auto"/>
      </w:divBdr>
    </w:div>
    <w:div w:id="171200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1288</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Ron Kirsop</cp:lastModifiedBy>
  <cp:revision>2</cp:revision>
  <dcterms:created xsi:type="dcterms:W3CDTF">2026-07-23T17:25:00Z</dcterms:created>
  <dcterms:modified xsi:type="dcterms:W3CDTF">2026-07-24T13:12:00Z</dcterms:modified>
</cp:coreProperties>
</file>