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218CF" w14:textId="77777777" w:rsidR="00FB168E" w:rsidRPr="00FB168E" w:rsidRDefault="00FB168E" w:rsidP="00FB168E">
      <w:pPr>
        <w:spacing w:before="100" w:beforeAutospacing="1" w:after="100" w:afterAutospacing="1" w:line="240" w:lineRule="auto"/>
        <w:rPr>
          <w:rFonts w:ascii="Segoe UI" w:eastAsia="Times New Roman" w:hAnsi="Segoe UI" w:cs="Segoe UI"/>
        </w:rPr>
      </w:pPr>
      <w:r w:rsidRPr="00FB168E">
        <w:rPr>
          <w:rFonts w:ascii="Segoe UI" w:eastAsia="Times New Roman" w:hAnsi="Segoe UI" w:cs="Segoe UI"/>
        </w:rPr>
        <w:t>[LIBRARY LOGO OR NAME]</w:t>
      </w:r>
    </w:p>
    <w:p w14:paraId="5354EEB4" w14:textId="4969ABB3" w:rsidR="00FB168E" w:rsidRPr="00FB168E" w:rsidRDefault="00FB168E" w:rsidP="00FB168E">
      <w:pPr>
        <w:pStyle w:val="Heading1"/>
      </w:pPr>
      <w:r w:rsidRPr="00FB168E">
        <w:t>Online Banking and Wire Transfer Policy</w:t>
      </w:r>
    </w:p>
    <w:p w14:paraId="7C56421C" w14:textId="77777777" w:rsidR="00FB168E" w:rsidRPr="00FB168E" w:rsidRDefault="00FB168E" w:rsidP="00FB168E">
      <w:pPr>
        <w:pStyle w:val="Heading2"/>
      </w:pPr>
      <w:r w:rsidRPr="00FB168E">
        <w:t>Purpose</w:t>
      </w:r>
    </w:p>
    <w:p w14:paraId="143325DC"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This policy establishes the rules governing the library's use of online banking and wire transfers. It protects public funds by ensuring that electronic financial transactions are authorized, documented, and subject to appropriate oversight. This policy applies to the board of trustees, the director, the treasurer, and any staff member with access to the library's online banking accounts.</w:t>
      </w:r>
    </w:p>
    <w:p w14:paraId="09401BCD"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This policy does not govern credit and debit card acceptance, online payment processing, or remote deposit capture. Those activities are addressed in separate policies.</w:t>
      </w:r>
    </w:p>
    <w:p w14:paraId="7B7747C2" w14:textId="77777777" w:rsidR="00FB168E" w:rsidRPr="00FB168E" w:rsidRDefault="00FB168E" w:rsidP="00FB168E">
      <w:pPr>
        <w:pStyle w:val="Heading2"/>
      </w:pPr>
      <w:r w:rsidRPr="00FB168E">
        <w:t>Authorized Transactions</w:t>
      </w:r>
    </w:p>
    <w:p w14:paraId="2A08D7D6"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library uses online banking for the following purposes:</w:t>
      </w:r>
    </w:p>
    <w:p w14:paraId="304CF80C" w14:textId="77777777" w:rsidR="00FB168E" w:rsidRPr="00FB168E" w:rsidRDefault="00FB168E" w:rsidP="00FB168E">
      <w:pPr>
        <w:numPr>
          <w:ilvl w:val="0"/>
          <w:numId w:val="1"/>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Reviewing account balances and transaction activity</w:t>
      </w:r>
    </w:p>
    <w:p w14:paraId="13D4ACE5" w14:textId="77777777" w:rsidR="00FB168E" w:rsidRPr="00FB168E" w:rsidRDefault="00FB168E" w:rsidP="00FB168E">
      <w:pPr>
        <w:numPr>
          <w:ilvl w:val="0"/>
          <w:numId w:val="1"/>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Transferring funds between library accounts</w:t>
      </w:r>
    </w:p>
    <w:p w14:paraId="60F97A12" w14:textId="77777777" w:rsidR="00FB168E" w:rsidRPr="00FB168E" w:rsidRDefault="00FB168E" w:rsidP="00FB168E">
      <w:pPr>
        <w:numPr>
          <w:ilvl w:val="0"/>
          <w:numId w:val="1"/>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Initiating payments to authorized vendors</w:t>
      </w:r>
    </w:p>
    <w:p w14:paraId="5DCCFD2C" w14:textId="77777777" w:rsidR="00FB168E" w:rsidRPr="00FB168E" w:rsidRDefault="00FB168E" w:rsidP="00FB168E">
      <w:pPr>
        <w:numPr>
          <w:ilvl w:val="0"/>
          <w:numId w:val="1"/>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Initiating wire transfers for bond payments, investment transactions, or other large-dollar settlements as authorized by the board</w:t>
      </w:r>
    </w:p>
    <w:p w14:paraId="1C196BC2"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Any transaction type not listed above requires prior board authorization before it may be conducted through online banking.</w:t>
      </w:r>
    </w:p>
    <w:p w14:paraId="1647C519"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Review this list with your treasurer and director. Add or remove transaction types to reflect how your library actually uses online banking. If your library does not use wire transfers at all, remove that item and the Wire Transfers section below.]</w:t>
      </w:r>
    </w:p>
    <w:p w14:paraId="5A611ED5" w14:textId="77777777" w:rsidR="00FB168E" w:rsidRPr="00FB168E" w:rsidRDefault="00FB168E" w:rsidP="00FB168E">
      <w:pPr>
        <w:pStyle w:val="Heading2"/>
      </w:pPr>
      <w:r w:rsidRPr="00FB168E">
        <w:t>Authorized Users</w:t>
      </w:r>
    </w:p>
    <w:p w14:paraId="5AE8A78C"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board designates the following positions as authorized to access the library's online banking accounts:</w:t>
      </w:r>
    </w:p>
    <w:p w14:paraId="2A707B5B"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lastRenderedPageBreak/>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xml:space="preserve"> List the specific positions, not names. Common examples: Treasurer, Director, Assistant Director. Do not list more positions than necessary. Access should be limited strictly to those whose job duties require it.]</w:t>
      </w:r>
    </w:p>
    <w:p w14:paraId="38390F33" w14:textId="5B2F3972"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 xml:space="preserve">The director maintains a current list of individuals in each authorized position. The board reviews and confirms this list annually </w:t>
      </w:r>
      <w:r>
        <w:rPr>
          <w:rFonts w:ascii="Segoe UI" w:eastAsia="Times New Roman" w:hAnsi="Segoe UI" w:cs="Segoe UI"/>
          <w:sz w:val="24"/>
          <w:szCs w:val="24"/>
        </w:rPr>
        <w:t xml:space="preserve">during their annual organizational meeting </w:t>
      </w:r>
      <w:r w:rsidRPr="00FB168E">
        <w:rPr>
          <w:rFonts w:ascii="Segoe UI" w:eastAsia="Times New Roman" w:hAnsi="Segoe UI" w:cs="Segoe UI"/>
          <w:sz w:val="24"/>
          <w:szCs w:val="24"/>
        </w:rPr>
        <w:t>or whenever a personnel change affects access.</w:t>
      </w:r>
    </w:p>
    <w:p w14:paraId="0008F9C3"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No third-party vendor, bookkeeper, payroll processor, or consultant may have direct access to the library's online banking accounts. Vendors receive payment through the library's normal claims and warrant process after board audit and approval.</w:t>
      </w:r>
    </w:p>
    <w:p w14:paraId="73626655" w14:textId="77777777" w:rsidR="00FB168E" w:rsidRPr="00FB168E" w:rsidRDefault="00FB168E" w:rsidP="00FB168E">
      <w:pPr>
        <w:pStyle w:val="Heading2"/>
      </w:pPr>
      <w:r w:rsidRPr="00FB168E">
        <w:t>Segregation of Duties</w:t>
      </w:r>
    </w:p>
    <w:p w14:paraId="20FCC970"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At least two individuals must be involved in each electronic transaction. Specifically:</w:t>
      </w:r>
    </w:p>
    <w:p w14:paraId="1CC886DC" w14:textId="77777777" w:rsidR="00FB168E" w:rsidRPr="00FB168E" w:rsidRDefault="00FB168E" w:rsidP="00FB168E">
      <w:pPr>
        <w:numPr>
          <w:ilvl w:val="0"/>
          <w:numId w:val="2"/>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person who initiates a transaction may not also authorize it.</w:t>
      </w:r>
    </w:p>
    <w:p w14:paraId="53EA701A" w14:textId="77777777" w:rsidR="00FB168E" w:rsidRPr="00FB168E" w:rsidRDefault="00FB168E" w:rsidP="00FB168E">
      <w:pPr>
        <w:numPr>
          <w:ilvl w:val="0"/>
          <w:numId w:val="2"/>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person who authorizes a transaction may not also record it in the library's financial records.</w:t>
      </w:r>
    </w:p>
    <w:p w14:paraId="63DB688A" w14:textId="77777777" w:rsidR="00FB168E" w:rsidRPr="00FB168E" w:rsidRDefault="00FB168E" w:rsidP="00FB168E">
      <w:pPr>
        <w:numPr>
          <w:ilvl w:val="0"/>
          <w:numId w:val="2"/>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No individual may both prepare a disbursement and audit or approve the underlying claim.</w:t>
      </w:r>
    </w:p>
    <w:p w14:paraId="734660D4"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xml:space="preserve"> If your library has limited staff, strict segregation of duties may not be fully achievable. In that case, the board must adopt compensating controls, such as requiring independent supervisory review of every transaction before and after it is posted. Document those compensating controls here. Consult with your auditor or legal counsel on what is sufficient for your library's staffing situation.]</w:t>
      </w:r>
    </w:p>
    <w:p w14:paraId="6DFD9807" w14:textId="77777777" w:rsidR="00FB168E" w:rsidRPr="00FB168E" w:rsidRDefault="00FB168E" w:rsidP="00FB168E">
      <w:pPr>
        <w:pStyle w:val="Heading2"/>
      </w:pPr>
      <w:r w:rsidRPr="00FB168E">
        <w:t>Wire Transfers</w:t>
      </w:r>
    </w:p>
    <w:p w14:paraId="34BE3DDA"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Before the library conducts any wire transfer, the board enters into a written agreement with the depository bank. That agreement must, consistent with New York General Municipal Law Section 5-a, identify the accounts from which wire transfers may be made, identify the officer or officers authorized to order a transfer, specify the manner in which transfers will be made, and implement a security procedure as required by Uniform Commercial Code Section 4-A-201.</w:t>
      </w:r>
    </w:p>
    <w:p w14:paraId="0157B109"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No individual may execute a wire transfer without written or documented authorization from the treasurer or their designated deputy. The authorization and transmitting functions are always performed by different individuals.</w:t>
      </w:r>
    </w:p>
    <w:p w14:paraId="1C2F5BC5" w14:textId="77777777" w:rsidR="00FB168E" w:rsidRPr="00FB168E" w:rsidRDefault="00FB168E" w:rsidP="00FB168E">
      <w:pPr>
        <w:pStyle w:val="Heading3"/>
      </w:pPr>
      <w:r w:rsidRPr="00FB168E">
        <w:lastRenderedPageBreak/>
        <w:t>Wire transfers are used only for:</w:t>
      </w:r>
    </w:p>
    <w:p w14:paraId="5FE06291" w14:textId="77777777" w:rsidR="00FB168E" w:rsidRPr="00FB168E" w:rsidRDefault="00FB168E" w:rsidP="00FB168E">
      <w:pPr>
        <w:numPr>
          <w:ilvl w:val="0"/>
          <w:numId w:val="3"/>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Bond payments or debt service</w:t>
      </w:r>
    </w:p>
    <w:p w14:paraId="3E323D63" w14:textId="77777777" w:rsidR="00FB168E" w:rsidRPr="00FB168E" w:rsidRDefault="00FB168E" w:rsidP="00FB168E">
      <w:pPr>
        <w:numPr>
          <w:ilvl w:val="0"/>
          <w:numId w:val="3"/>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Investment transactions</w:t>
      </w:r>
    </w:p>
    <w:p w14:paraId="2869E5EB" w14:textId="77777777" w:rsidR="00FB168E" w:rsidRPr="00FB168E" w:rsidRDefault="00FB168E" w:rsidP="00FB168E">
      <w:pPr>
        <w:numPr>
          <w:ilvl w:val="0"/>
          <w:numId w:val="3"/>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Other large-dollar settlements expressly authorized by the board</w:t>
      </w:r>
    </w:p>
    <w:p w14:paraId="01A631E1"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xml:space="preserve"> Add or remove permitted purposes to reflect your library's actual practices. If your library has never conducted a wire transfer and does not intend to, you may remove this section entirely and note in the policy that wire transfers are not authorized.]</w:t>
      </w:r>
    </w:p>
    <w:p w14:paraId="5FD43F7B"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depository bank must provide written confirmation of each wire transfer to the authorizing officer no later than the next business day following the transfer.</w:t>
      </w:r>
    </w:p>
    <w:p w14:paraId="6C943B1B"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library instructs its depository bank to require a callback confirmation from a designated individual other than the person who initiated the transfer before executing any wire transfer. The library may also direct its bank to block wire transfers to foreign accounts or to any institution other than authorized counterparties.</w:t>
      </w:r>
    </w:p>
    <w:p w14:paraId="0DAC75EB"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Because wire transfers do not pass through the normal accounts payable cycle, the director ensures that each transfer is captured in the accounting records promptly and supported by documentation showing the purpose, amount, source account, and destination account.</w:t>
      </w:r>
    </w:p>
    <w:p w14:paraId="2C347CA2" w14:textId="77777777" w:rsidR="00FB168E" w:rsidRPr="00FB168E" w:rsidRDefault="00FB168E" w:rsidP="00FB168E">
      <w:pPr>
        <w:pStyle w:val="Heading2"/>
      </w:pPr>
      <w:r w:rsidRPr="00FB168E">
        <w:t>Claims and Board Reporting</w:t>
      </w:r>
    </w:p>
    <w:p w14:paraId="749E1888"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All electronic disbursements, wire transfers, and online transaction fees appear on the warrant submitted to the board for monthly approval. Staff may not exclude transactions from the warrant because they lack a check number. The board reviews a detailed transaction listing, not a single lump-sum total.</w:t>
      </w:r>
    </w:p>
    <w:p w14:paraId="702016C2"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Each transaction must be supported by documentation and approved by the board before or, where timing requires, promptly after the disbursement occurs.</w:t>
      </w:r>
    </w:p>
    <w:p w14:paraId="1A160C56"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New York Education Law and OSC guidance require that claims be audited and approved before payment in most circumstances. If your library uses electronic payments in situations where prior board approval is not practical, consult with legal counsel about what documentation and ratification process satisfies your legal obligations.]</w:t>
      </w:r>
    </w:p>
    <w:p w14:paraId="5AE3FC75" w14:textId="77777777" w:rsidR="00FB168E" w:rsidRPr="00FB168E" w:rsidRDefault="00FB168E" w:rsidP="00FB168E">
      <w:pPr>
        <w:pStyle w:val="Heading2"/>
      </w:pPr>
      <w:r w:rsidRPr="00FB168E">
        <w:t>Password and Access Controls</w:t>
      </w:r>
    </w:p>
    <w:p w14:paraId="7758FDB3"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lastRenderedPageBreak/>
        <w:t>Each authorized user has a unique username and password. Sharing credentials is prohibited. The library treats credential sharing as a serious internal control failure because it makes it impossible to determine who initiated any specific transaction.</w:t>
      </w:r>
    </w:p>
    <w:p w14:paraId="2C09BD21" w14:textId="45769C05"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 xml:space="preserve">Passwords must meet complexity requirements: a minimum of </w:t>
      </w:r>
      <w:r>
        <w:rPr>
          <w:rFonts w:ascii="Segoe UI" w:eastAsia="Times New Roman" w:hAnsi="Segoe UI" w:cs="Segoe UI"/>
          <w:sz w:val="24"/>
          <w:szCs w:val="24"/>
        </w:rPr>
        <w:t>eight</w:t>
      </w:r>
      <w:r w:rsidRPr="00FB168E">
        <w:rPr>
          <w:rFonts w:ascii="Segoe UI" w:eastAsia="Times New Roman" w:hAnsi="Segoe UI" w:cs="Segoe UI"/>
          <w:sz w:val="24"/>
          <w:szCs w:val="24"/>
        </w:rPr>
        <w:t xml:space="preserve"> characters, including at least one uppercase letter, one lowercase character, one number, and one special character. Passwords may not include easily guessed words or names.</w:t>
      </w:r>
    </w:p>
    <w:p w14:paraId="0CA973A2"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library changes passwords and reviews access rights whenever an authorized user leaves their position, changes roles, or is no longer authorized to access online banking. The director is responsible for ensuring that departing employees are promptly removed from all online banking access.</w:t>
      </w:r>
    </w:p>
    <w:p w14:paraId="5BC5BCC1" w14:textId="724C49EC" w:rsid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Authorized users may not save banking usernames or passwords in a web browser and may not access the library's online banking from a public computer or an unprotected mobile device. Users type the bank's website address directly into the browser rather than following a link from an email or search engine result.</w:t>
      </w:r>
    </w:p>
    <w:p w14:paraId="57B462CB" w14:textId="5929D3F1"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xml:space="preserve"> The password complexity requirements in this section come directly from the Office of the State Comptroller's Cash Management Technology guide (footnote 12). These are not arbitrary standards. The OSC guidebook explicitly lists these requirements as part of its best practices for online banking security. Libraries </w:t>
      </w:r>
      <w:r w:rsidRPr="00FB168E">
        <w:rPr>
          <w:rFonts w:ascii="Segoe UI" w:eastAsia="Times New Roman" w:hAnsi="Segoe UI" w:cs="Segoe UI"/>
          <w:sz w:val="24"/>
          <w:szCs w:val="24"/>
          <w:highlight w:val="yellow"/>
        </w:rPr>
        <w:t xml:space="preserve">directors or boards </w:t>
      </w:r>
      <w:r w:rsidRPr="00FB168E">
        <w:rPr>
          <w:rFonts w:ascii="Segoe UI" w:eastAsia="Times New Roman" w:hAnsi="Segoe UI" w:cs="Segoe UI"/>
          <w:sz w:val="24"/>
          <w:szCs w:val="24"/>
          <w:highlight w:val="yellow"/>
        </w:rPr>
        <w:t xml:space="preserve">that push back on these requirements should be directed to that source. The guide is available at </w:t>
      </w:r>
      <w:hyperlink r:id="rId7" w:history="1">
        <w:r w:rsidRPr="00FB168E">
          <w:rPr>
            <w:rStyle w:val="Hyperlink"/>
            <w:rFonts w:ascii="Segoe UI" w:eastAsia="Times New Roman" w:hAnsi="Segoe UI" w:cs="Segoe UI"/>
            <w:sz w:val="24"/>
            <w:szCs w:val="24"/>
            <w:highlight w:val="yellow"/>
          </w:rPr>
          <w:t>https://www.osc.ny.gov/files/local-government/publications/pdf/cash-management-technology.pdf</w:t>
        </w:r>
      </w:hyperlink>
      <w:r w:rsidRPr="00FB168E">
        <w:rPr>
          <w:rFonts w:ascii="Segoe UI" w:eastAsia="Times New Roman" w:hAnsi="Segoe UI" w:cs="Segoe UI"/>
          <w:sz w:val="24"/>
          <w:szCs w:val="24"/>
          <w:highlight w:val="yellow"/>
        </w:rPr>
        <w:t>]</w:t>
      </w:r>
      <w:r>
        <w:rPr>
          <w:rFonts w:ascii="Segoe UI" w:eastAsia="Times New Roman" w:hAnsi="Segoe UI" w:cs="Segoe UI"/>
          <w:sz w:val="24"/>
          <w:szCs w:val="24"/>
        </w:rPr>
        <w:t xml:space="preserve"> </w:t>
      </w:r>
    </w:p>
    <w:p w14:paraId="4BE72D13"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ASSOCIATION LIBRARIES</w:t>
      </w:r>
      <w:r w:rsidRPr="00FB168E">
        <w:rPr>
          <w:rFonts w:ascii="Segoe UI" w:eastAsia="Times New Roman" w:hAnsi="Segoe UI" w:cs="Segoe UI"/>
          <w:sz w:val="24"/>
          <w:szCs w:val="24"/>
          <w:highlight w:val="yellow"/>
        </w:rPr>
        <w:t>: Association libraries follow the same password and access control requirements. If your association library uses a bookkeeper or accountant who previously had banking access, this is an appropriate time to review whether that access was ever formally authorized by the board and whether it has been removed.]</w:t>
      </w:r>
    </w:p>
    <w:p w14:paraId="7EB9207E" w14:textId="77777777" w:rsidR="00FB168E" w:rsidRPr="00FB168E" w:rsidRDefault="00FB168E" w:rsidP="00FB168E">
      <w:pPr>
        <w:pStyle w:val="Heading2"/>
      </w:pPr>
      <w:r w:rsidRPr="00FB168E">
        <w:t>Security Practices</w:t>
      </w:r>
    </w:p>
    <w:p w14:paraId="1F2085E0"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library uses multi-factor authentication (also called two-factor authentication) for all online banking access where the bank makes it available. Multi-factor authentication requires the user to verify their identity using at least two methods: something they know, such as a password; something they have, such as a phone or token; or something they are, such as a fingerprint.</w:t>
      </w:r>
    </w:p>
    <w:p w14:paraId="3DBC9ED8"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director ensures that computers used for online banking:</w:t>
      </w:r>
    </w:p>
    <w:p w14:paraId="08268E5A" w14:textId="77777777" w:rsidR="00FB168E" w:rsidRPr="00FB168E" w:rsidRDefault="00FB168E" w:rsidP="00FB168E">
      <w:pPr>
        <w:numPr>
          <w:ilvl w:val="0"/>
          <w:numId w:val="4"/>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lastRenderedPageBreak/>
        <w:t>Have current antivirus, anti-spyware, and malware protection installed and updated</w:t>
      </w:r>
    </w:p>
    <w:p w14:paraId="4A2FC9EB" w14:textId="77777777" w:rsidR="00FB168E" w:rsidRPr="00FB168E" w:rsidRDefault="00FB168E" w:rsidP="00FB168E">
      <w:pPr>
        <w:numPr>
          <w:ilvl w:val="0"/>
          <w:numId w:val="4"/>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Have operating system and software security patches applied promptly</w:t>
      </w:r>
    </w:p>
    <w:p w14:paraId="26621131" w14:textId="77777777" w:rsidR="00FB168E" w:rsidRPr="00FB168E" w:rsidRDefault="00FB168E" w:rsidP="00FB168E">
      <w:pPr>
        <w:numPr>
          <w:ilvl w:val="0"/>
          <w:numId w:val="4"/>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Use a wired rather than wireless network connection for financial transactions where possible</w:t>
      </w:r>
    </w:p>
    <w:p w14:paraId="1B3A4FF5" w14:textId="77777777" w:rsidR="00FB168E" w:rsidRPr="00FB168E" w:rsidRDefault="00FB168E" w:rsidP="00FB168E">
      <w:pPr>
        <w:numPr>
          <w:ilvl w:val="0"/>
          <w:numId w:val="4"/>
        </w:num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Are logged out of all banking sessions completely when the session ends, not merely closed</w:t>
      </w:r>
    </w:p>
    <w:p w14:paraId="271A249A"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 xml:space="preserve">The library works with its insurance provider to maintain coverage appropriate for </w:t>
      </w:r>
      <w:proofErr w:type="spellStart"/>
      <w:r w:rsidRPr="00FB168E">
        <w:rPr>
          <w:rFonts w:ascii="Segoe UI" w:eastAsia="Times New Roman" w:hAnsi="Segoe UI" w:cs="Segoe UI"/>
          <w:sz w:val="24"/>
          <w:szCs w:val="24"/>
        </w:rPr>
        <w:t>cyberfraud</w:t>
      </w:r>
      <w:proofErr w:type="spellEnd"/>
      <w:r w:rsidRPr="00FB168E">
        <w:rPr>
          <w:rFonts w:ascii="Segoe UI" w:eastAsia="Times New Roman" w:hAnsi="Segoe UI" w:cs="Segoe UI"/>
          <w:sz w:val="24"/>
          <w:szCs w:val="24"/>
        </w:rPr>
        <w:t xml:space="preserve"> risks, including fraudulent transfers and data breaches.</w:t>
      </w:r>
    </w:p>
    <w:p w14:paraId="30FADD12" w14:textId="0A62C326" w:rsid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Staff with online banking access receive training at least annually on safe computing practices. Training covers recognizing phishing emails and social engineering schemes, avoiding untrusted links and attachments, and verifying the legitimacy of unexpected requests involving financial transactions. The director documents completion of this training.</w:t>
      </w:r>
    </w:p>
    <w:p w14:paraId="09E5383D" w14:textId="7E51CF48" w:rsidR="00871D31" w:rsidRDefault="00871D31" w:rsidP="00FB168E">
      <w:pPr>
        <w:spacing w:before="100" w:beforeAutospacing="1" w:after="100" w:afterAutospacing="1" w:line="240" w:lineRule="auto"/>
        <w:rPr>
          <w:rFonts w:ascii="Segoe UI" w:eastAsia="Times New Roman" w:hAnsi="Segoe UI" w:cs="Segoe UI"/>
          <w:sz w:val="24"/>
          <w:szCs w:val="24"/>
        </w:rPr>
      </w:pPr>
      <w:r w:rsidRPr="00871D31">
        <w:rPr>
          <w:rFonts w:ascii="Segoe UI" w:eastAsia="Times New Roman" w:hAnsi="Segoe UI" w:cs="Segoe UI"/>
          <w:sz w:val="24"/>
          <w:szCs w:val="24"/>
          <w:highlight w:val="yellow"/>
        </w:rPr>
        <w:t>[</w:t>
      </w:r>
      <w:r w:rsidRPr="00871D31">
        <w:rPr>
          <w:rFonts w:ascii="Segoe UI" w:eastAsia="Times New Roman" w:hAnsi="Segoe UI" w:cs="Segoe UI"/>
          <w:b/>
          <w:bCs/>
          <w:sz w:val="24"/>
          <w:szCs w:val="24"/>
          <w:highlight w:val="yellow"/>
        </w:rPr>
        <w:t>POLICY NOTE</w:t>
      </w:r>
      <w:r w:rsidRPr="00871D31">
        <w:rPr>
          <w:rFonts w:ascii="Segoe UI" w:eastAsia="Times New Roman" w:hAnsi="Segoe UI" w:cs="Segoe UI"/>
          <w:sz w:val="24"/>
          <w:szCs w:val="24"/>
          <w:highlight w:val="yellow"/>
        </w:rPr>
        <w:t xml:space="preserve">: The requirement for multi-factor authentication comes directly from the Office of the State Comptroller's Cash Management Technology guide (page 6), which lists it as a computing environment best practice for online banking. The OSC guide defines two-factor authentication as verifying identity through at least two of three methods: something you know, something you have, or something you are. Most banks now offer this as a standard feature at no additional cost. If a library's bank does not offer multi-factor authentication, that is worth raising with the bank directly, and the library should document the limitation and what compensating controls it has adopted in its place. The guide is available at </w:t>
      </w:r>
      <w:hyperlink r:id="rId8" w:history="1">
        <w:r w:rsidRPr="00871D31">
          <w:rPr>
            <w:rFonts w:ascii="Segoe UI" w:eastAsia="Times New Roman" w:hAnsi="Segoe UI" w:cs="Segoe UI"/>
            <w:sz w:val="24"/>
            <w:szCs w:val="24"/>
            <w:highlight w:val="yellow"/>
          </w:rPr>
          <w:t>https://www.osc.ny.gov/files/local-government/publications/pdf/cash-management-technology.pdf</w:t>
        </w:r>
      </w:hyperlink>
      <w:r w:rsidRPr="00871D31">
        <w:rPr>
          <w:rFonts w:ascii="Segoe UI" w:eastAsia="Times New Roman" w:hAnsi="Segoe UI" w:cs="Segoe UI"/>
          <w:sz w:val="24"/>
          <w:szCs w:val="24"/>
          <w:highlight w:val="yellow"/>
        </w:rPr>
        <w:t>]</w:t>
      </w:r>
      <w:r>
        <w:rPr>
          <w:rFonts w:ascii="Segoe UI" w:eastAsia="Times New Roman" w:hAnsi="Segoe UI" w:cs="Segoe UI"/>
          <w:sz w:val="24"/>
          <w:szCs w:val="24"/>
        </w:rPr>
        <w:t xml:space="preserve"> </w:t>
      </w:r>
    </w:p>
    <w:p w14:paraId="238A0467" w14:textId="4D7C284F" w:rsidR="00871D31" w:rsidRPr="00FB168E" w:rsidRDefault="00871D31" w:rsidP="00FB168E">
      <w:pPr>
        <w:spacing w:before="100" w:beforeAutospacing="1" w:after="100" w:afterAutospacing="1" w:line="240" w:lineRule="auto"/>
        <w:rPr>
          <w:rFonts w:ascii="Segoe UI" w:eastAsia="Times New Roman" w:hAnsi="Segoe UI" w:cs="Segoe UI"/>
          <w:sz w:val="24"/>
          <w:szCs w:val="24"/>
          <w:highlight w:val="yellow"/>
        </w:rPr>
      </w:pPr>
      <w:r w:rsidRPr="00871D31">
        <w:rPr>
          <w:rFonts w:ascii="Segoe UI" w:eastAsia="Times New Roman" w:hAnsi="Segoe UI" w:cs="Segoe UI"/>
          <w:sz w:val="24"/>
          <w:szCs w:val="24"/>
          <w:highlight w:val="yellow"/>
        </w:rPr>
        <w:t>[</w:t>
      </w:r>
      <w:r w:rsidRPr="00871D31">
        <w:rPr>
          <w:rFonts w:ascii="Segoe UI" w:eastAsia="Times New Roman" w:hAnsi="Segoe UI" w:cs="Segoe UI"/>
          <w:b/>
          <w:bCs/>
          <w:sz w:val="24"/>
          <w:szCs w:val="24"/>
          <w:highlight w:val="yellow"/>
        </w:rPr>
        <w:t>POLICY NOTE</w:t>
      </w:r>
      <w:r w:rsidRPr="00871D31">
        <w:rPr>
          <w:rFonts w:ascii="Segoe UI" w:eastAsia="Times New Roman" w:hAnsi="Segoe UI" w:cs="Segoe UI"/>
          <w:sz w:val="24"/>
          <w:szCs w:val="24"/>
          <w:highlight w:val="yellow"/>
        </w:rPr>
        <w:t xml:space="preserve">: The requirement for recurring security awareness training comes directly from the Office of the State Comptroller's Cash Management Technology guide (page 5), which identifies it as a non-technical internal control that local governments conducting online banking should maintain. The OSC guide specifically calls for training that covers phishing attacks, malware, and other threats targeting online banking credentials. The guide does not specify a frequency, so this policy sets an annual minimum as a reasonable standard. Training does not need to be formal or expensive. Many free resources are available through the New York State Chief Information Security Office at </w:t>
      </w:r>
      <w:hyperlink r:id="rId9" w:history="1">
        <w:r w:rsidRPr="00871D31">
          <w:rPr>
            <w:rFonts w:ascii="Segoe UI" w:eastAsia="Times New Roman" w:hAnsi="Segoe UI" w:cs="Segoe UI"/>
            <w:sz w:val="24"/>
            <w:szCs w:val="24"/>
            <w:highlight w:val="yellow"/>
          </w:rPr>
          <w:t>https://its.ny.gov/ciso/local-government</w:t>
        </w:r>
      </w:hyperlink>
      <w:r w:rsidRPr="00871D31">
        <w:rPr>
          <w:rFonts w:ascii="Segoe UI" w:eastAsia="Times New Roman" w:hAnsi="Segoe UI" w:cs="Segoe UI"/>
          <w:sz w:val="24"/>
          <w:szCs w:val="24"/>
          <w:highlight w:val="yellow"/>
        </w:rPr>
        <w:t>. The director should keep a simple log of who completed training and when, so the board can confirm compliance during its annual review of this policy.]</w:t>
      </w:r>
    </w:p>
    <w:p w14:paraId="22FFCD10"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lastRenderedPageBreak/>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The OSC notes that no single control is sufficient against cyberattacks. The goal is layered defense. If your library lacks the IT resources to implement all of these controls, document what compensating measures you have adopted and consult with your auditor about whether they are sufficient.]</w:t>
      </w:r>
    </w:p>
    <w:p w14:paraId="4A6AAA44" w14:textId="77777777" w:rsidR="00FB168E" w:rsidRPr="00FB168E" w:rsidRDefault="00FB168E" w:rsidP="00871D31">
      <w:pPr>
        <w:pStyle w:val="Heading2"/>
      </w:pPr>
      <w:r w:rsidRPr="00FB168E">
        <w:t>Bank Agreements and Signature Cards</w:t>
      </w:r>
    </w:p>
    <w:p w14:paraId="7912C92B"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board confirms that its signature card agreements with all depository banks are consistent with this policy. If this policy requires two authorizations for disbursements, the bank signature card must reflect that requirement. A signature card that allows one-signature disbursement when this policy requires two removes a critical control.</w:t>
      </w:r>
    </w:p>
    <w:p w14:paraId="60BC67FC"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highlight w:val="yellow"/>
        </w:rPr>
        <w:t>[</w:t>
      </w:r>
      <w:r w:rsidRPr="00FB168E">
        <w:rPr>
          <w:rFonts w:ascii="Segoe UI" w:eastAsia="Times New Roman" w:hAnsi="Segoe UI" w:cs="Segoe UI"/>
          <w:b/>
          <w:bCs/>
          <w:sz w:val="24"/>
          <w:szCs w:val="24"/>
          <w:highlight w:val="yellow"/>
        </w:rPr>
        <w:t>POLICY NOTE</w:t>
      </w:r>
      <w:r w:rsidRPr="00FB168E">
        <w:rPr>
          <w:rFonts w:ascii="Segoe UI" w:eastAsia="Times New Roman" w:hAnsi="Segoe UI" w:cs="Segoe UI"/>
          <w:sz w:val="24"/>
          <w:szCs w:val="24"/>
          <w:highlight w:val="yellow"/>
        </w:rPr>
        <w:t>: Directors and treasurers should pull the library's current signature cards on file with the bank and compare them to what this policy requires. Mismatches are a common finding in OSC audits of library finances.]</w:t>
      </w:r>
    </w:p>
    <w:p w14:paraId="36EE2802" w14:textId="77777777" w:rsidR="00FB168E" w:rsidRPr="00FB168E" w:rsidRDefault="00FB168E" w:rsidP="00871D31">
      <w:pPr>
        <w:pStyle w:val="Heading2"/>
      </w:pPr>
      <w:r w:rsidRPr="00FB168E">
        <w:t>Review</w:t>
      </w:r>
    </w:p>
    <w:p w14:paraId="6981990F" w14:textId="77777777" w:rsidR="00FB168E" w:rsidRPr="00FB168E" w:rsidRDefault="00FB168E" w:rsidP="00FB168E">
      <w:pPr>
        <w:spacing w:before="100" w:beforeAutospacing="1" w:after="100" w:afterAutospacing="1" w:line="240" w:lineRule="auto"/>
        <w:rPr>
          <w:rFonts w:ascii="Segoe UI" w:eastAsia="Times New Roman" w:hAnsi="Segoe UI" w:cs="Segoe UI"/>
          <w:sz w:val="24"/>
          <w:szCs w:val="24"/>
        </w:rPr>
      </w:pPr>
      <w:r w:rsidRPr="00FB168E">
        <w:rPr>
          <w:rFonts w:ascii="Segoe UI" w:eastAsia="Times New Roman" w:hAnsi="Segoe UI" w:cs="Segoe UI"/>
          <w:sz w:val="24"/>
          <w:szCs w:val="24"/>
        </w:rPr>
        <w:t>The board reviews this policy every five years, consistent with 8 NYCRR § 90.2, or sooner if a significant change in law, technology, or library operations warrants an earlier review.</w:t>
      </w:r>
    </w:p>
    <w:p w14:paraId="5CC5F31A" w14:textId="2F232F8C" w:rsidR="00FB168E" w:rsidRPr="00FB168E" w:rsidRDefault="00FB168E" w:rsidP="00871D31">
      <w:pPr>
        <w:spacing w:before="100" w:beforeAutospacing="1" w:after="100" w:afterAutospacing="1" w:line="240" w:lineRule="auto"/>
        <w:jc w:val="right"/>
        <w:rPr>
          <w:rFonts w:ascii="Segoe UI" w:eastAsia="Times New Roman" w:hAnsi="Segoe UI" w:cs="Segoe UI"/>
          <w:i/>
          <w:iCs/>
          <w:sz w:val="24"/>
          <w:szCs w:val="24"/>
        </w:rPr>
      </w:pPr>
      <w:r w:rsidRPr="00FB168E">
        <w:rPr>
          <w:rFonts w:ascii="Segoe UI" w:eastAsia="Times New Roman" w:hAnsi="Segoe UI" w:cs="Segoe UI"/>
          <w:i/>
          <w:iCs/>
          <w:sz w:val="24"/>
          <w:szCs w:val="24"/>
        </w:rPr>
        <w:t>Approved by the [LIBRARY NAME] Board of Trustees on [DATE]</w:t>
      </w:r>
    </w:p>
    <w:p w14:paraId="4E5ECB1F" w14:textId="6CC8C578" w:rsidR="00A30541" w:rsidRPr="00FB168E" w:rsidRDefault="00A30541" w:rsidP="00FB168E">
      <w:pPr>
        <w:rPr>
          <w:rFonts w:ascii="Segoe UI" w:hAnsi="Segoe UI" w:cs="Segoe UI"/>
        </w:rPr>
      </w:pPr>
    </w:p>
    <w:sectPr w:rsidR="00A30541" w:rsidRPr="00FB168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261F6" w14:textId="77777777" w:rsidR="00871D31" w:rsidRDefault="00871D31" w:rsidP="00871D31">
      <w:pPr>
        <w:spacing w:after="0" w:line="240" w:lineRule="auto"/>
      </w:pPr>
      <w:r>
        <w:separator/>
      </w:r>
    </w:p>
  </w:endnote>
  <w:endnote w:type="continuationSeparator" w:id="0">
    <w:p w14:paraId="08F164B7" w14:textId="77777777" w:rsidR="00871D31" w:rsidRDefault="00871D31" w:rsidP="00871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6089937"/>
      <w:docPartObj>
        <w:docPartGallery w:val="Page Numbers (Bottom of Page)"/>
        <w:docPartUnique/>
      </w:docPartObj>
    </w:sdtPr>
    <w:sdtEndPr>
      <w:rPr>
        <w:noProof/>
      </w:rPr>
    </w:sdtEndPr>
    <w:sdtContent>
      <w:p w14:paraId="35BF4182" w14:textId="77777777" w:rsidR="00871D31" w:rsidRPr="00871D31" w:rsidRDefault="00871D31" w:rsidP="00871D31">
        <w:pPr>
          <w:pStyle w:val="Footer"/>
          <w:jc w:val="right"/>
          <w:rPr>
            <w:rFonts w:ascii="Segoe UI" w:hAnsi="Segoe UI" w:cs="Segoe UI"/>
            <w:noProof/>
          </w:rPr>
        </w:pPr>
        <w:r w:rsidRPr="00871D31">
          <w:rPr>
            <w:rFonts w:ascii="Segoe UI" w:hAnsi="Segoe UI" w:cs="Segoe UI"/>
          </w:rPr>
          <w:fldChar w:fldCharType="begin"/>
        </w:r>
        <w:r w:rsidRPr="00871D31">
          <w:rPr>
            <w:rFonts w:ascii="Segoe UI" w:hAnsi="Segoe UI" w:cs="Segoe UI"/>
          </w:rPr>
          <w:instrText xml:space="preserve"> PAGE   \* MERGEFORMAT </w:instrText>
        </w:r>
        <w:r w:rsidRPr="00871D31">
          <w:rPr>
            <w:rFonts w:ascii="Segoe UI" w:hAnsi="Segoe UI" w:cs="Segoe UI"/>
          </w:rPr>
          <w:fldChar w:fldCharType="separate"/>
        </w:r>
        <w:r w:rsidRPr="00871D31">
          <w:rPr>
            <w:rFonts w:ascii="Segoe UI" w:hAnsi="Segoe UI" w:cs="Segoe UI"/>
            <w:noProof/>
          </w:rPr>
          <w:t>2</w:t>
        </w:r>
        <w:r w:rsidRPr="00871D31">
          <w:rPr>
            <w:rFonts w:ascii="Segoe UI" w:hAnsi="Segoe UI" w:cs="Segoe UI"/>
            <w:noProof/>
          </w:rPr>
          <w:fldChar w:fldCharType="end"/>
        </w:r>
      </w:p>
      <w:p w14:paraId="778B2BFC" w14:textId="6931C77F" w:rsidR="00871D31" w:rsidRDefault="00871D31" w:rsidP="00871D31">
        <w:pPr>
          <w:pStyle w:val="Footer"/>
          <w:jc w:val="right"/>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5A132" w14:textId="77777777" w:rsidR="00871D31" w:rsidRDefault="00871D31" w:rsidP="00871D31">
      <w:pPr>
        <w:spacing w:after="0" w:line="240" w:lineRule="auto"/>
      </w:pPr>
      <w:r>
        <w:separator/>
      </w:r>
    </w:p>
  </w:footnote>
  <w:footnote w:type="continuationSeparator" w:id="0">
    <w:p w14:paraId="3FBE89AF" w14:textId="77777777" w:rsidR="00871D31" w:rsidRDefault="00871D31" w:rsidP="00871D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E92"/>
    <w:multiLevelType w:val="multilevel"/>
    <w:tmpl w:val="5DD40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4098B"/>
    <w:multiLevelType w:val="multilevel"/>
    <w:tmpl w:val="B5947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567239"/>
    <w:multiLevelType w:val="multilevel"/>
    <w:tmpl w:val="6982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A80665"/>
    <w:multiLevelType w:val="multilevel"/>
    <w:tmpl w:val="DC8CA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541"/>
    <w:rsid w:val="00871D31"/>
    <w:rsid w:val="00A30541"/>
    <w:rsid w:val="00FB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4E382"/>
  <w15:chartTrackingRefBased/>
  <w15:docId w15:val="{69825F37-6EEB-45B3-B937-DB3C8FE4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68E"/>
    <w:pPr>
      <w:spacing w:line="256" w:lineRule="auto"/>
    </w:pPr>
  </w:style>
  <w:style w:type="paragraph" w:styleId="Heading1">
    <w:name w:val="heading 1"/>
    <w:basedOn w:val="Normal"/>
    <w:next w:val="Normal"/>
    <w:link w:val="Heading1Char"/>
    <w:uiPriority w:val="9"/>
    <w:qFormat/>
    <w:rsid w:val="00FB168E"/>
    <w:pPr>
      <w:spacing w:before="100" w:beforeAutospacing="1" w:after="100" w:afterAutospacing="1" w:line="240" w:lineRule="auto"/>
      <w:outlineLvl w:val="0"/>
    </w:pPr>
    <w:rPr>
      <w:rFonts w:ascii="Segoe UI" w:eastAsia="Times New Roman" w:hAnsi="Segoe UI" w:cs="Segoe UI"/>
      <w:kern w:val="28"/>
      <w:sz w:val="52"/>
      <w:szCs w:val="52"/>
    </w:rPr>
  </w:style>
  <w:style w:type="paragraph" w:styleId="Heading2">
    <w:name w:val="heading 2"/>
    <w:basedOn w:val="Normal"/>
    <w:next w:val="Normal"/>
    <w:link w:val="Heading2Char"/>
    <w:uiPriority w:val="9"/>
    <w:unhideWhenUsed/>
    <w:qFormat/>
    <w:rsid w:val="00FB168E"/>
    <w:pPr>
      <w:spacing w:before="100" w:beforeAutospacing="1" w:after="100" w:afterAutospacing="1" w:line="240" w:lineRule="auto"/>
      <w:outlineLvl w:val="1"/>
    </w:pPr>
    <w:rPr>
      <w:rFonts w:ascii="Segoe UI" w:eastAsia="Times New Roman" w:hAnsi="Segoe UI" w:cs="Segoe UI"/>
      <w:b/>
      <w:bCs/>
      <w:sz w:val="28"/>
      <w:szCs w:val="28"/>
    </w:rPr>
  </w:style>
  <w:style w:type="paragraph" w:styleId="Heading3">
    <w:name w:val="heading 3"/>
    <w:basedOn w:val="Normal"/>
    <w:next w:val="Normal"/>
    <w:link w:val="Heading3Char"/>
    <w:uiPriority w:val="9"/>
    <w:unhideWhenUsed/>
    <w:qFormat/>
    <w:rsid w:val="00FB168E"/>
    <w:pPr>
      <w:spacing w:before="100" w:beforeAutospacing="1" w:after="100" w:afterAutospacing="1" w:line="240" w:lineRule="auto"/>
      <w:outlineLvl w:val="2"/>
    </w:pPr>
    <w:rPr>
      <w:rFonts w:ascii="Segoe UI" w:eastAsia="Times New Roman" w:hAnsi="Segoe UI" w:cs="Segoe U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B168E"/>
    <w:rPr>
      <w:rFonts w:ascii="Segoe UI" w:eastAsia="Times New Roman" w:hAnsi="Segoe UI" w:cs="Segoe UI"/>
      <w:b/>
      <w:bCs/>
      <w:sz w:val="28"/>
      <w:szCs w:val="28"/>
    </w:rPr>
  </w:style>
  <w:style w:type="character" w:customStyle="1" w:styleId="Heading1Char">
    <w:name w:val="Heading 1 Char"/>
    <w:basedOn w:val="DefaultParagraphFont"/>
    <w:link w:val="Heading1"/>
    <w:uiPriority w:val="9"/>
    <w:rsid w:val="00FB168E"/>
    <w:rPr>
      <w:rFonts w:ascii="Segoe UI" w:eastAsia="Times New Roman" w:hAnsi="Segoe UI" w:cs="Segoe UI"/>
      <w:kern w:val="28"/>
      <w:sz w:val="52"/>
      <w:szCs w:val="52"/>
    </w:rPr>
  </w:style>
  <w:style w:type="character" w:customStyle="1" w:styleId="Heading3Char">
    <w:name w:val="Heading 3 Char"/>
    <w:basedOn w:val="DefaultParagraphFont"/>
    <w:link w:val="Heading3"/>
    <w:uiPriority w:val="9"/>
    <w:rsid w:val="00FB168E"/>
    <w:rPr>
      <w:rFonts w:ascii="Segoe UI" w:eastAsia="Times New Roman" w:hAnsi="Segoe UI" w:cs="Segoe UI"/>
      <w:b/>
      <w:bCs/>
      <w:sz w:val="24"/>
      <w:szCs w:val="24"/>
    </w:rPr>
  </w:style>
  <w:style w:type="character" w:styleId="Hyperlink">
    <w:name w:val="Hyperlink"/>
    <w:basedOn w:val="DefaultParagraphFont"/>
    <w:uiPriority w:val="99"/>
    <w:unhideWhenUsed/>
    <w:rsid w:val="00FB168E"/>
    <w:rPr>
      <w:color w:val="0563C1" w:themeColor="hyperlink"/>
      <w:u w:val="single"/>
    </w:rPr>
  </w:style>
  <w:style w:type="character" w:styleId="UnresolvedMention">
    <w:name w:val="Unresolved Mention"/>
    <w:basedOn w:val="DefaultParagraphFont"/>
    <w:uiPriority w:val="99"/>
    <w:semiHidden/>
    <w:unhideWhenUsed/>
    <w:rsid w:val="00FB168E"/>
    <w:rPr>
      <w:color w:val="605E5C"/>
      <w:shd w:val="clear" w:color="auto" w:fill="E1DFDD"/>
    </w:rPr>
  </w:style>
  <w:style w:type="paragraph" w:styleId="Header">
    <w:name w:val="header"/>
    <w:basedOn w:val="Normal"/>
    <w:link w:val="HeaderChar"/>
    <w:uiPriority w:val="99"/>
    <w:unhideWhenUsed/>
    <w:rsid w:val="0087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D31"/>
  </w:style>
  <w:style w:type="paragraph" w:styleId="Footer">
    <w:name w:val="footer"/>
    <w:basedOn w:val="Normal"/>
    <w:link w:val="FooterChar"/>
    <w:uiPriority w:val="99"/>
    <w:unhideWhenUsed/>
    <w:rsid w:val="0087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957192">
      <w:bodyDiv w:val="1"/>
      <w:marLeft w:val="0"/>
      <w:marRight w:val="0"/>
      <w:marTop w:val="0"/>
      <w:marBottom w:val="0"/>
      <w:divBdr>
        <w:top w:val="none" w:sz="0" w:space="0" w:color="auto"/>
        <w:left w:val="none" w:sz="0" w:space="0" w:color="auto"/>
        <w:bottom w:val="none" w:sz="0" w:space="0" w:color="auto"/>
        <w:right w:val="none" w:sz="0" w:space="0" w:color="auto"/>
      </w:divBdr>
    </w:div>
    <w:div w:id="1606111241">
      <w:bodyDiv w:val="1"/>
      <w:marLeft w:val="0"/>
      <w:marRight w:val="0"/>
      <w:marTop w:val="0"/>
      <w:marBottom w:val="0"/>
      <w:divBdr>
        <w:top w:val="none" w:sz="0" w:space="0" w:color="auto"/>
        <w:left w:val="none" w:sz="0" w:space="0" w:color="auto"/>
        <w:bottom w:val="none" w:sz="0" w:space="0" w:color="auto"/>
        <w:right w:val="none" w:sz="0" w:space="0" w:color="auto"/>
      </w:divBdr>
    </w:div>
    <w:div w:id="171200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ny.gov/files/local-government/publications/pdf/cash-management-technology.pdf" TargetMode="External"/><Relationship Id="rId3" Type="http://schemas.openxmlformats.org/officeDocument/2006/relationships/settings" Target="settings.xml"/><Relationship Id="rId7" Type="http://schemas.openxmlformats.org/officeDocument/2006/relationships/hyperlink" Target="https://www.osc.ny.gov/files/local-government/publications/pdf/cash-management-technolog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its.ny.gov/ciso/local-govern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Kirsop</dc:creator>
  <cp:keywords/>
  <dc:description/>
  <cp:lastModifiedBy>Ron Kirsop</cp:lastModifiedBy>
  <cp:revision>2</cp:revision>
  <dcterms:created xsi:type="dcterms:W3CDTF">2026-04-03T15:53:00Z</dcterms:created>
  <dcterms:modified xsi:type="dcterms:W3CDTF">2026-04-03T16:08:00Z</dcterms:modified>
</cp:coreProperties>
</file>