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6F07C" w14:textId="77777777" w:rsidR="00F513A6" w:rsidRDefault="003D1DAF">
      <w:pPr>
        <w:pStyle w:val="FirstParagraph"/>
      </w:pPr>
      <w:r>
        <w:t>[LIBRARY NAME]</w:t>
      </w:r>
    </w:p>
    <w:p w14:paraId="50447D18" w14:textId="77777777" w:rsidR="00F513A6" w:rsidRDefault="003D1DAF">
      <w:pPr>
        <w:pStyle w:val="Heading1"/>
      </w:pPr>
      <w:bookmarkStart w:id="0" w:name="X7e8ef5b90682387c345bc0a7f600596cff94fff"/>
      <w:r>
        <w:t>Confidentiality of Library Records Policy</w:t>
      </w:r>
    </w:p>
    <w:p w14:paraId="6E7FD676" w14:textId="77777777" w:rsidR="00F513A6" w:rsidRDefault="003D1DAF">
      <w:pPr>
        <w:pStyle w:val="FirstParagraph"/>
      </w:pPr>
      <w:r>
        <w:rPr>
          <w:highlight w:val="yellow"/>
        </w:rPr>
        <w:t>[</w:t>
      </w:r>
      <w:r>
        <w:rPr>
          <w:b/>
          <w:bCs/>
          <w:highlight w:val="yellow"/>
        </w:rPr>
        <w:t>POLICY NOTE</w:t>
      </w:r>
      <w:r>
        <w:rPr>
          <w:highlight w:val="yellow"/>
        </w:rPr>
        <w:t xml:space="preserve">: Bracketed, highlighted text like this is a policy note. Policy notes explain why a section is drafted the way it is, flag a decision the board needs to make, or note something to confirm with counsel or another advisor before adoption. They are not part </w:t>
      </w:r>
      <w:r>
        <w:rPr>
          <w:highlight w:val="yellow"/>
        </w:rPr>
        <w:t>of the policy itself. Remove every policy note, including this one, before the board approves the final policy.]</w:t>
      </w:r>
    </w:p>
    <w:p w14:paraId="3953576A" w14:textId="77777777" w:rsidR="00F513A6" w:rsidRDefault="003D1DAF">
      <w:pPr>
        <w:pStyle w:val="Heading2"/>
      </w:pPr>
      <w:bookmarkStart w:id="1" w:name="purpose"/>
      <w:r>
        <w:t>Purpose</w:t>
      </w:r>
    </w:p>
    <w:p w14:paraId="4D4D62BC" w14:textId="77777777" w:rsidR="00F513A6" w:rsidRDefault="003D1DAF">
      <w:pPr>
        <w:pStyle w:val="FirstParagraph"/>
      </w:pPr>
      <w:r>
        <w:t xml:space="preserve">[LIBRARY NAME] protects the privacy and confidentiality of everyone who uses the library. This policy states the library’s obligations </w:t>
      </w:r>
      <w:r>
        <w:t>under New York Civil Practice Law and Rules (CPLR) § 4509, which makes library records confidential, and describes how the library applies that obligation to the records it keeps, the requests it receives, and the systems and vendors it uses. It applies to</w:t>
      </w:r>
      <w:r>
        <w:t xml:space="preserve"> every trustee, employee, and volunteer who has access to a library record, and to every record the library creates or maintains that identifies a patron’s use of the library, regardless of format.</w:t>
      </w:r>
    </w:p>
    <w:p w14:paraId="2CD1AF59" w14:textId="77777777" w:rsidR="00F513A6" w:rsidRDefault="003D1DAF">
      <w:pPr>
        <w:pStyle w:val="BodyText"/>
      </w:pPr>
      <w:r>
        <w:t>This policy reflects the American Library Association’s Li</w:t>
      </w:r>
      <w:r>
        <w:t>brary Bill of Rights, Article VII, which recognizes a right to privacy and confidentiality in library use for every patron, regardless of age, background, or the reason for their visit.</w:t>
      </w:r>
    </w:p>
    <w:p w14:paraId="0340B623" w14:textId="77777777" w:rsidR="00F513A6" w:rsidRDefault="003D1DAF">
      <w:pPr>
        <w:pStyle w:val="Heading2"/>
      </w:pPr>
      <w:bookmarkStart w:id="2" w:name="confidential-library-records"/>
      <w:bookmarkEnd w:id="1"/>
      <w:r>
        <w:t>Confidential Library Records</w:t>
      </w:r>
    </w:p>
    <w:p w14:paraId="64981728" w14:textId="77777777" w:rsidR="00F513A6" w:rsidRDefault="003D1DAF">
      <w:pPr>
        <w:pStyle w:val="FirstParagraph"/>
      </w:pPr>
      <w:r>
        <w:t>Under CPLR § 4509, a library record is an</w:t>
      </w:r>
      <w:r>
        <w:t>y record that contains a patron’s name or other identifying information connected to that patron’s use of library materials, services, or facilities. Examples include circulation records, computer and internet use, reference and research assistance, interl</w:t>
      </w:r>
      <w:r>
        <w:t>ibrary loan requests, database searches, and reservation of library materials.</w:t>
      </w:r>
    </w:p>
    <w:p w14:paraId="39BD4D73" w14:textId="77777777" w:rsidR="00F513A6" w:rsidRDefault="003D1DAF">
      <w:pPr>
        <w:pStyle w:val="BodyText"/>
      </w:pPr>
      <w:r>
        <w:t>[LIBRARY NAME] treats any record that indicates a specific individual’s use of library services or library facilities as a confidential library record, unless this policy or ano</w:t>
      </w:r>
      <w:r>
        <w:t>ther library policy specifically states otherwise.</w:t>
      </w:r>
    </w:p>
    <w:p w14:paraId="2E50FF2F" w14:textId="77777777" w:rsidR="00F513A6" w:rsidRDefault="003D1DAF">
      <w:pPr>
        <w:pStyle w:val="BodyText"/>
      </w:pPr>
      <w:r>
        <w:t xml:space="preserve">A confidential library record may not be disclosed except in the circumstances CPLR § 4509 allows: with the patron’s consent, to the extent necessary for the proper operation </w:t>
      </w:r>
      <w:r>
        <w:lastRenderedPageBreak/>
        <w:t>of the library, or pursuant to</w:t>
      </w:r>
      <w:r>
        <w:t xml:space="preserve"> subpoena, court order, or another statute that specifically requires disclosure.</w:t>
      </w:r>
    </w:p>
    <w:p w14:paraId="745A6FB5" w14:textId="77777777" w:rsidR="00F513A6" w:rsidRDefault="003D1DAF">
      <w:pPr>
        <w:pStyle w:val="BodyText"/>
      </w:pPr>
      <w:r>
        <w:t>Only staff members and volunteers who need access to a specific library record to do their jobs may access it. Directors do not grant broader access to library records than a</w:t>
      </w:r>
      <w:r>
        <w:t xml:space="preserve"> person’s duties require.</w:t>
      </w:r>
    </w:p>
    <w:p w14:paraId="4C7C7774" w14:textId="77777777" w:rsidR="00F513A6" w:rsidRDefault="003D1DAF">
      <w:pPr>
        <w:pStyle w:val="BodyText"/>
      </w:pPr>
      <w:r>
        <w:rPr>
          <w:highlight w:val="yellow"/>
        </w:rPr>
        <w:t>[</w:t>
      </w:r>
      <w:r>
        <w:rPr>
          <w:b/>
          <w:bCs/>
          <w:highlight w:val="yellow"/>
        </w:rPr>
        <w:t>POLICY NOTE</w:t>
      </w:r>
      <w:r>
        <w:rPr>
          <w:highlight w:val="yellow"/>
        </w:rPr>
        <w:t xml:space="preserve">: The library may want to identify specific records, technology, or physical spaces (for example, security camera footage owned and controlled by a landlord rather than the library) that this broad definition does not </w:t>
      </w:r>
      <w:r>
        <w:rPr>
          <w:highlight w:val="yellow"/>
        </w:rPr>
        <w:t>reach, and state that exclusion here. Confirm legal applicability before adopting any exclusions.]</w:t>
      </w:r>
    </w:p>
    <w:p w14:paraId="5DFF6AFD" w14:textId="77777777" w:rsidR="00F513A6" w:rsidRDefault="003D1DAF">
      <w:pPr>
        <w:pStyle w:val="Heading2"/>
      </w:pPr>
      <w:bookmarkStart w:id="3" w:name="Xdf41b9f9e3c4cd1e83152abaa83bbd33c0d904c"/>
      <w:bookmarkEnd w:id="2"/>
      <w:r>
        <w:t>Requests from Law Enforcement and Other Third Parties</w:t>
      </w:r>
    </w:p>
    <w:p w14:paraId="2AB8618D" w14:textId="77777777" w:rsidR="00F513A6" w:rsidRDefault="003D1DAF">
      <w:pPr>
        <w:pStyle w:val="FirstParagraph"/>
      </w:pPr>
      <w:r>
        <w:t xml:space="preserve">[LIBRARY NAME] does not disclose a confidential library record to a law enforcement officer, attorney, </w:t>
      </w:r>
      <w:r>
        <w:t>government agency, or any other third party except with the patron’s consent or pursuant to a subpoena, court order, or other statute that specifically requires disclosure.</w:t>
      </w:r>
    </w:p>
    <w:p w14:paraId="7E831870" w14:textId="77777777" w:rsidR="00F513A6" w:rsidRDefault="003D1DAF">
      <w:pPr>
        <w:pStyle w:val="BodyText"/>
      </w:pPr>
      <w:r>
        <w:t>Only the director, or the director’s designee in the director’s absence, is authori</w:t>
      </w:r>
      <w:r>
        <w:t>zed to respond to a request for a confidential library record from law enforcement or any other third party. A staff member or volunteer who receives such a request refers the requester to the director and does not confirm, deny, or discuss any patron’s us</w:t>
      </w:r>
      <w:r>
        <w:t>e of the library.</w:t>
      </w:r>
    </w:p>
    <w:p w14:paraId="064D8610" w14:textId="77777777" w:rsidR="00F513A6" w:rsidRDefault="003D1DAF">
      <w:pPr>
        <w:pStyle w:val="BodyText"/>
      </w:pPr>
      <w:r>
        <w:t>If a genuine and immediate threat to a person’s health or life exists, the director may disclose the minimum information necessary to address that threat, in coordination with law enforcement or emergency responders as appropriate.</w:t>
      </w:r>
    </w:p>
    <w:p w14:paraId="671CD393" w14:textId="77777777" w:rsidR="00F513A6" w:rsidRDefault="003D1DAF">
      <w:pPr>
        <w:pStyle w:val="BodyText"/>
      </w:pPr>
      <w:r>
        <w:rPr>
          <w:highlight w:val="yellow"/>
        </w:rPr>
        <w:t>[</w:t>
      </w:r>
      <w:r>
        <w:rPr>
          <w:b/>
          <w:bCs/>
          <w:highlight w:val="yellow"/>
        </w:rPr>
        <w:t>POLIC</w:t>
      </w:r>
      <w:r>
        <w:rPr>
          <w:b/>
          <w:bCs/>
          <w:highlight w:val="yellow"/>
        </w:rPr>
        <w:t>Y NOTE</w:t>
      </w:r>
      <w:r>
        <w:rPr>
          <w:highlight w:val="yellow"/>
        </w:rPr>
        <w:t>: The library may want to adopt a more detailed local procedure, developed with legal counsel, for verifying and responding to subpoenas, court orders, and search warrants. The OWWL Library System’s Systems Access and Confidentiality of Library Recor</w:t>
      </w:r>
      <w:r>
        <w:rPr>
          <w:highlight w:val="yellow"/>
        </w:rPr>
        <w:t>ds Policy contains a sample procedure the library may adapt.]</w:t>
      </w:r>
    </w:p>
    <w:p w14:paraId="57ED9E58" w14:textId="77777777" w:rsidR="00F513A6" w:rsidRDefault="003D1DAF">
      <w:pPr>
        <w:pStyle w:val="Heading2"/>
      </w:pPr>
      <w:bookmarkStart w:id="4" w:name="X7cd5252e8f8f8eb2c65db608ffec36e1a6474ad"/>
      <w:bookmarkEnd w:id="3"/>
      <w:r>
        <w:t>Retention and Disposal of Library Records</w:t>
      </w:r>
    </w:p>
    <w:p w14:paraId="51E07E0B" w14:textId="77777777" w:rsidR="00F513A6" w:rsidRDefault="003D1DAF">
      <w:pPr>
        <w:pStyle w:val="FirstParagraph"/>
      </w:pPr>
      <w:r>
        <w:t>[LIBRARY NAME] keeps a confidential library record only as long as necessary for the operation of the library or as required by law, consistent with the</w:t>
      </w:r>
      <w:r>
        <w:t xml:space="preserve"> Local Government Records Schedule (LGS-1) issued by the New York State Archives. Retention periods </w:t>
      </w:r>
      <w:r>
        <w:lastRenderedPageBreak/>
        <w:t>differ by record type, and the library follows the schedule that applies to each record it keeps.</w:t>
      </w:r>
    </w:p>
    <w:p w14:paraId="2C50514D" w14:textId="77777777" w:rsidR="00F513A6" w:rsidRDefault="003D1DAF">
      <w:pPr>
        <w:pStyle w:val="BodyText"/>
      </w:pPr>
      <w:r>
        <w:rPr>
          <w:highlight w:val="yellow"/>
        </w:rPr>
        <w:t>[</w:t>
      </w:r>
      <w:r>
        <w:rPr>
          <w:b/>
          <w:bCs/>
          <w:highlight w:val="yellow"/>
        </w:rPr>
        <w:t>ASSOCIATION LIBRARIES</w:t>
      </w:r>
      <w:r>
        <w:rPr>
          <w:highlight w:val="yellow"/>
        </w:rPr>
        <w:t>: LGS-1 does not legally bind associ</w:t>
      </w:r>
      <w:r>
        <w:rPr>
          <w:highlight w:val="yellow"/>
        </w:rPr>
        <w:t>ation libraries, but the OWWL Library System recommends adopting it as the library’s retention standard for consistency and sound practice.]</w:t>
      </w:r>
    </w:p>
    <w:p w14:paraId="204BC0A1" w14:textId="77777777" w:rsidR="00F513A6" w:rsidRDefault="003D1DAF">
      <w:pPr>
        <w:pStyle w:val="BodyText"/>
      </w:pPr>
      <w:r>
        <w:t>The library disposes of a confidential library record once its retention period ends, in a manner that prevents rec</w:t>
      </w:r>
      <w:r>
        <w:t>overy of the information it contains, such as shredding paper records or securely deleting electronic files.</w:t>
      </w:r>
    </w:p>
    <w:p w14:paraId="1529A92C" w14:textId="77777777" w:rsidR="00F513A6" w:rsidRDefault="003D1DAF">
      <w:pPr>
        <w:pStyle w:val="Heading2"/>
      </w:pPr>
      <w:bookmarkStart w:id="5" w:name="technology-systems-and-vendors"/>
      <w:bookmarkEnd w:id="4"/>
      <w:r>
        <w:t>Technology Systems and Vendors</w:t>
      </w:r>
    </w:p>
    <w:p w14:paraId="7A4BB7CD" w14:textId="77777777" w:rsidR="00F513A6" w:rsidRDefault="003D1DAF">
      <w:pPr>
        <w:pStyle w:val="FirstParagraph"/>
      </w:pPr>
      <w:r>
        <w:t>[LIBRARY NAME] uses computer systems, software, and vendor services to manage library operations and deliver library</w:t>
      </w:r>
      <w:r>
        <w:t xml:space="preserve"> services. Any system or vendor that collects, stores, or processes a confidential library record is subject to this policy and to the library’s obligations under CPLR § 4509 and New York’s SHIELD Act (General Business Law § 899-bb).</w:t>
      </w:r>
    </w:p>
    <w:p w14:paraId="45D723DD" w14:textId="77777777" w:rsidR="00F513A6" w:rsidRDefault="003D1DAF">
      <w:pPr>
        <w:pStyle w:val="BodyText"/>
      </w:pPr>
      <w:r>
        <w:t>Before the library beg</w:t>
      </w:r>
      <w:r>
        <w:t>ins using a new system or vendor service that will handle a confidential library record, the director confirms that the library’s written agreement with the vendor limits the vendor’s use of that record to the service the library has contracted for, and pr</w:t>
      </w:r>
      <w:r>
        <w:t>ohibits the vendor from sharing the record with any other party except as this policy allows.</w:t>
      </w:r>
    </w:p>
    <w:p w14:paraId="6987C0CE" w14:textId="77777777" w:rsidR="00F513A6" w:rsidRDefault="003D1DAF">
      <w:pPr>
        <w:pStyle w:val="Heading2"/>
      </w:pPr>
      <w:bookmarkStart w:id="6" w:name="Xc0affe8cecca37683ba68215edac253cf7548eb"/>
      <w:bookmarkEnd w:id="5"/>
      <w:r>
        <w:t>Records in the Integrated Library System (ILS)</w:t>
      </w:r>
    </w:p>
    <w:p w14:paraId="17FC91C7" w14:textId="77777777" w:rsidR="00F513A6" w:rsidRDefault="003D1DAF">
      <w:pPr>
        <w:pStyle w:val="FirstParagraph"/>
      </w:pPr>
      <w:r>
        <w:t>The library’s use of the OWWL Library System’s Integrated Library System (ILS) is governed by the OWWL Library Syst</w:t>
      </w:r>
      <w:r>
        <w:t xml:space="preserve">em’s Systems Access and Confidentiality of Library Records Policy. Each [LIBRARY NAME] staff member and volunteer who accesses the ILS does so through an individual, unique account, and complies with that policy’s requirements for account access, password </w:t>
      </w:r>
      <w:r>
        <w:t>security, device use, and data handling. Every employee and volunteer who accesses the ILS also completes the training that policy requires.</w:t>
      </w:r>
    </w:p>
    <w:p w14:paraId="4F714B32" w14:textId="64966465" w:rsidR="00F513A6" w:rsidRDefault="003D1DAF">
      <w:pPr>
        <w:pStyle w:val="BodyText"/>
      </w:pPr>
      <w:r>
        <w:t>The ILS holds records belonging to patrons of all 42 OWWL Library System member libraries, not only [LIBRARY NAME]’</w:t>
      </w:r>
      <w:r>
        <w:t>s own patrons. To help protect that shared body of records, [LIBRARY NAME] secures the library records it creates and accesses</w:t>
      </w:r>
      <w:r w:rsidR="00214BA5">
        <w:t xml:space="preserve"> through the </w:t>
      </w:r>
      <w:r w:rsidR="00214BA5">
        <w:lastRenderedPageBreak/>
        <w:t>ILS</w:t>
      </w:r>
      <w:r>
        <w:t xml:space="preserve"> in a manner consistent with all applicable OWWL Library System policies and New York State law.</w:t>
      </w:r>
    </w:p>
    <w:p w14:paraId="485E9714" w14:textId="77777777" w:rsidR="00F513A6" w:rsidRDefault="003D1DAF">
      <w:pPr>
        <w:pStyle w:val="Heading2"/>
      </w:pPr>
      <w:bookmarkStart w:id="7" w:name="additional-local-records"/>
      <w:bookmarkEnd w:id="6"/>
      <w:r>
        <w:t>Additional Local Records</w:t>
      </w:r>
    </w:p>
    <w:p w14:paraId="6FD6B2E7" w14:textId="77777777" w:rsidR="00F513A6" w:rsidRDefault="003D1DAF">
      <w:pPr>
        <w:pStyle w:val="FirstParagraph"/>
      </w:pPr>
      <w:r>
        <w:t>[LIBRARY NAME] maintains additional records, beyond those described above, that may identify a patron or a patron’s use of the library. For each, the library states below whether the record is confidential under CPLR § 4509 and, if so, who may access it an</w:t>
      </w:r>
      <w:r>
        <w:t>d how long the library retains it.</w:t>
      </w:r>
    </w:p>
    <w:p w14:paraId="1A9A438D" w14:textId="77777777" w:rsidR="00F513A6" w:rsidRDefault="003D1DAF">
      <w:pPr>
        <w:pStyle w:val="Compact"/>
        <w:numPr>
          <w:ilvl w:val="0"/>
          <w:numId w:val="18"/>
        </w:numPr>
      </w:pPr>
      <w:r>
        <w:t>[RECORD TYPE]: [Confidential / Not confidential]. [Access and retention practice.]</w:t>
      </w:r>
    </w:p>
    <w:p w14:paraId="2B1E46F9" w14:textId="77777777" w:rsidR="00F513A6" w:rsidRDefault="003D1DAF">
      <w:pPr>
        <w:pStyle w:val="Compact"/>
        <w:numPr>
          <w:ilvl w:val="0"/>
          <w:numId w:val="18"/>
        </w:numPr>
      </w:pPr>
      <w:r>
        <w:t>[RECORD TYPE]: [Confidential / Not confidential]. [Access and retention practice.]</w:t>
      </w:r>
    </w:p>
    <w:p w14:paraId="439594A0" w14:textId="77777777" w:rsidR="00F513A6" w:rsidRDefault="003D1DAF">
      <w:pPr>
        <w:pStyle w:val="Compact"/>
        <w:numPr>
          <w:ilvl w:val="0"/>
          <w:numId w:val="18"/>
        </w:numPr>
      </w:pPr>
      <w:r>
        <w:t>[RECORD TYPE]: [Confidential / Not confidential]. [Acce</w:t>
      </w:r>
      <w:r>
        <w:t>ss and retention practice.]</w:t>
      </w:r>
    </w:p>
    <w:p w14:paraId="5C73939E" w14:textId="77777777" w:rsidR="00F513A6" w:rsidRDefault="003D1DAF">
      <w:pPr>
        <w:pStyle w:val="FirstParagraph"/>
      </w:pPr>
      <w:r>
        <w:rPr>
          <w:highlight w:val="yellow"/>
        </w:rPr>
        <w:t>[</w:t>
      </w:r>
      <w:r>
        <w:rPr>
          <w:b/>
          <w:bCs/>
          <w:highlight w:val="yellow"/>
        </w:rPr>
        <w:t>POLICY NOTE</w:t>
      </w:r>
      <w:r>
        <w:rPr>
          <w:highlight w:val="yellow"/>
        </w:rPr>
        <w:t>: List every additional record the library collects that could identify a patron or a patron’s use of the library, beyond the ILS records already addressed above. Common examples include notary journals, program regi</w:t>
      </w:r>
      <w:r>
        <w:rPr>
          <w:highlight w:val="yellow"/>
        </w:rPr>
        <w:t>stration or sign-up sheets, donor and fundraising records, meeting room reservation forms, security camera footage, interlibrary loan slips, and records generated by specific equipment such as a 3D printer or a public computer sign-in sheet. For each recor</w:t>
      </w:r>
      <w:r>
        <w:rPr>
          <w:highlight w:val="yellow"/>
        </w:rPr>
        <w:t xml:space="preserve">d the library actually collects, decide whether it identifies a specific patron’s use of the library (if so, it is very likely a confidential library record under CPLR § 4509), and state who may access it and how long the library keeps it before disposal. </w:t>
      </w:r>
      <w:r>
        <w:rPr>
          <w:highlight w:val="yellow"/>
        </w:rPr>
        <w:t>Remove any record type the library does not collect, and add any not listed here.]</w:t>
      </w:r>
    </w:p>
    <w:p w14:paraId="58F2F7E7" w14:textId="77777777" w:rsidR="00F513A6" w:rsidRDefault="003D1DAF">
      <w:pPr>
        <w:pStyle w:val="Heading2"/>
      </w:pPr>
      <w:bookmarkStart w:id="8" w:name="review"/>
      <w:bookmarkEnd w:id="7"/>
      <w:r>
        <w:t>Review</w:t>
      </w:r>
    </w:p>
    <w:p w14:paraId="7C1D3B25" w14:textId="77777777" w:rsidR="00F513A6" w:rsidRDefault="003D1DAF">
      <w:pPr>
        <w:pStyle w:val="FirstParagraph"/>
      </w:pPr>
      <w:r>
        <w:t>The board reviews this policy every five years, consistent with 8 NYCRR § 90.2, or sooner if a change in law or in the library’s recordkeeping practices requires it.</w:t>
      </w:r>
    </w:p>
    <w:p w14:paraId="0872FFAB" w14:textId="77777777" w:rsidR="00F513A6" w:rsidRDefault="003D1DAF" w:rsidP="00214BA5">
      <w:pPr>
        <w:pStyle w:val="ApprovalLine0"/>
        <w:jc w:val="right"/>
      </w:pPr>
      <w:r>
        <w:rPr>
          <w:i/>
          <w:iCs/>
        </w:rPr>
        <w:t>Approved by the [LIBRARY NAME] Board of Trustees on [DATE].</w:t>
      </w:r>
      <w:bookmarkEnd w:id="0"/>
      <w:bookmarkEnd w:id="8"/>
    </w:p>
    <w:sectPr w:rsidR="00F513A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A48B5" w14:textId="77777777" w:rsidR="003D1DAF" w:rsidRDefault="003D1DAF">
      <w:pPr>
        <w:spacing w:before="0" w:after="0"/>
      </w:pPr>
      <w:r>
        <w:separator/>
      </w:r>
    </w:p>
  </w:endnote>
  <w:endnote w:type="continuationSeparator" w:id="0">
    <w:p w14:paraId="4A486D5F" w14:textId="77777777" w:rsidR="003D1DAF" w:rsidRDefault="003D1D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089937"/>
      <w:docPartObj>
        <w:docPartGallery w:val="Page Numbers (Bottom of Page)"/>
        <w:docPartUnique/>
      </w:docPartObj>
    </w:sdtPr>
    <w:sdtEndPr>
      <w:rPr>
        <w:noProof/>
      </w:rPr>
    </w:sdtEndPr>
    <w:sdtContent>
      <w:p w14:paraId="6C924198" w14:textId="77777777" w:rsidR="00871D31" w:rsidRPr="00871D31" w:rsidRDefault="00871D31" w:rsidP="00871D31">
        <w:pPr>
          <w:pStyle w:val="Footer"/>
          <w:jc w:val="right"/>
          <w:rPr>
            <w:noProof/>
          </w:rPr>
        </w:pPr>
        <w:r w:rsidRPr="00871D31">
          <w:fldChar w:fldCharType="begin"/>
        </w:r>
        <w:r w:rsidRPr="00871D31">
          <w:instrText xml:space="preserve"> PAGE   \* MERGEFORMAT </w:instrText>
        </w:r>
        <w:r w:rsidRPr="00871D31">
          <w:fldChar w:fldCharType="separate"/>
        </w:r>
        <w:r w:rsidRPr="00871D31">
          <w:rPr>
            <w:noProof/>
          </w:rPr>
          <w:t>2</w:t>
        </w:r>
        <w:r w:rsidRPr="00871D31">
          <w:rPr>
            <w:noProof/>
          </w:rPr>
          <w:fldChar w:fldCharType="end"/>
        </w:r>
      </w:p>
      <w:p w14:paraId="41EB5C08" w14:textId="77777777" w:rsidR="00871D31" w:rsidRDefault="003D1DAF" w:rsidP="00871D31">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9E7B1" w14:textId="77777777" w:rsidR="003D1DAF" w:rsidRDefault="003D1DAF">
      <w:pPr>
        <w:spacing w:before="0" w:after="0"/>
      </w:pPr>
      <w:r>
        <w:separator/>
      </w:r>
    </w:p>
  </w:footnote>
  <w:footnote w:type="continuationSeparator" w:id="0">
    <w:p w14:paraId="64E2BB20" w14:textId="77777777" w:rsidR="003D1DAF" w:rsidRDefault="003D1DA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28DCD90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633C648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2662405"/>
    <w:multiLevelType w:val="multilevel"/>
    <w:tmpl w:val="33B05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E4907"/>
    <w:multiLevelType w:val="multilevel"/>
    <w:tmpl w:val="91B8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3819DA"/>
    <w:multiLevelType w:val="multilevel"/>
    <w:tmpl w:val="FD34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B96E92"/>
    <w:multiLevelType w:val="multilevel"/>
    <w:tmpl w:val="5DD4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14098B"/>
    <w:multiLevelType w:val="multilevel"/>
    <w:tmpl w:val="B594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853B16"/>
    <w:multiLevelType w:val="multilevel"/>
    <w:tmpl w:val="FD92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277B5E"/>
    <w:multiLevelType w:val="multilevel"/>
    <w:tmpl w:val="3508F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567239"/>
    <w:multiLevelType w:val="multilevel"/>
    <w:tmpl w:val="6982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A35B85"/>
    <w:multiLevelType w:val="multilevel"/>
    <w:tmpl w:val="89FA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B41674"/>
    <w:multiLevelType w:val="multilevel"/>
    <w:tmpl w:val="438E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A80665"/>
    <w:multiLevelType w:val="multilevel"/>
    <w:tmpl w:val="DC8C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252B6"/>
    <w:multiLevelType w:val="multilevel"/>
    <w:tmpl w:val="B7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E16CB5"/>
    <w:multiLevelType w:val="multilevel"/>
    <w:tmpl w:val="6FFE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B655E3"/>
    <w:multiLevelType w:val="multilevel"/>
    <w:tmpl w:val="7DCC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1851A7"/>
    <w:multiLevelType w:val="multilevel"/>
    <w:tmpl w:val="810C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872F0F"/>
    <w:multiLevelType w:val="multilevel"/>
    <w:tmpl w:val="3BDC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6"/>
  </w:num>
  <w:num w:numId="4">
    <w:abstractNumId w:val="9"/>
  </w:num>
  <w:num w:numId="5">
    <w:abstractNumId w:val="4"/>
  </w:num>
  <w:num w:numId="6">
    <w:abstractNumId w:val="16"/>
  </w:num>
  <w:num w:numId="7">
    <w:abstractNumId w:val="17"/>
  </w:num>
  <w:num w:numId="8">
    <w:abstractNumId w:val="8"/>
  </w:num>
  <w:num w:numId="9">
    <w:abstractNumId w:val="11"/>
  </w:num>
  <w:num w:numId="10">
    <w:abstractNumId w:val="10"/>
  </w:num>
  <w:num w:numId="11">
    <w:abstractNumId w:val="3"/>
  </w:num>
  <w:num w:numId="12">
    <w:abstractNumId w:val="2"/>
  </w:num>
  <w:num w:numId="13">
    <w:abstractNumId w:val="14"/>
  </w:num>
  <w:num w:numId="14">
    <w:abstractNumId w:val="13"/>
  </w:num>
  <w:num w:numId="15">
    <w:abstractNumId w:val="7"/>
  </w:num>
  <w:num w:numId="16">
    <w:abstractNumId w:val="15"/>
  </w:num>
  <w:num w:numId="17">
    <w:abstractNumId w:val="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541"/>
    <w:rsid w:val="000832CE"/>
    <w:rsid w:val="00214BA5"/>
    <w:rsid w:val="002461C4"/>
    <w:rsid w:val="00293465"/>
    <w:rsid w:val="00363D01"/>
    <w:rsid w:val="003D1DAF"/>
    <w:rsid w:val="005178D4"/>
    <w:rsid w:val="005428E3"/>
    <w:rsid w:val="006036BB"/>
    <w:rsid w:val="00687E05"/>
    <w:rsid w:val="00694286"/>
    <w:rsid w:val="006C5783"/>
    <w:rsid w:val="00871D31"/>
    <w:rsid w:val="00944D94"/>
    <w:rsid w:val="0096013D"/>
    <w:rsid w:val="00A30541"/>
    <w:rsid w:val="00AE5CF0"/>
    <w:rsid w:val="00B0478B"/>
    <w:rsid w:val="00E12CE0"/>
    <w:rsid w:val="00F41867"/>
    <w:rsid w:val="00F513A6"/>
    <w:rsid w:val="00FB1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C957D"/>
  <w15:docId w15:val="{91FCAF3D-49C5-4289-B9CE-D33BC598A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imes New Roman" w:hAnsi="Segoe UI" w:cs="Segoe U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68E"/>
    <w:pPr>
      <w:spacing w:before="100" w:beforeAutospacing="1" w:after="100" w:afterAutospacing="1" w:line="240" w:lineRule="auto"/>
    </w:pPr>
  </w:style>
  <w:style w:type="paragraph" w:styleId="Heading1">
    <w:name w:val="heading 1"/>
    <w:basedOn w:val="Normal"/>
    <w:next w:val="Normal"/>
    <w:link w:val="Heading1Char"/>
    <w:uiPriority w:val="9"/>
    <w:qFormat/>
    <w:rsid w:val="00FB168E"/>
    <w:pPr>
      <w:outlineLvl w:val="0"/>
    </w:pPr>
    <w:rPr>
      <w:kern w:val="28"/>
      <w:sz w:val="52"/>
      <w:szCs w:val="52"/>
    </w:rPr>
  </w:style>
  <w:style w:type="paragraph" w:styleId="Heading2">
    <w:name w:val="heading 2"/>
    <w:basedOn w:val="Normal"/>
    <w:next w:val="Normal"/>
    <w:link w:val="Heading2Char"/>
    <w:uiPriority w:val="9"/>
    <w:unhideWhenUsed/>
    <w:qFormat/>
    <w:rsid w:val="00FB168E"/>
    <w:pPr>
      <w:outlineLvl w:val="1"/>
    </w:pPr>
    <w:rPr>
      <w:b/>
      <w:bCs/>
      <w:sz w:val="28"/>
      <w:szCs w:val="28"/>
    </w:rPr>
  </w:style>
  <w:style w:type="paragraph" w:styleId="Heading3">
    <w:name w:val="heading 3"/>
    <w:basedOn w:val="Normal"/>
    <w:next w:val="Normal"/>
    <w:link w:val="Heading3Char"/>
    <w:uiPriority w:val="9"/>
    <w:unhideWhenUsed/>
    <w:qFormat/>
    <w:rsid w:val="00FB168E"/>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Normal"/>
    <w:next w:val="Normal"/>
    <w:qFormat/>
  </w:style>
  <w:style w:type="paragraph" w:styleId="BodyText">
    <w:name w:val="Body Text"/>
    <w:basedOn w:val="Normal"/>
    <w:next w:val="Normal"/>
    <w:qFormat/>
  </w:style>
  <w:style w:type="paragraph" w:customStyle="1" w:styleId="Compact">
    <w:name w:val="Compact"/>
    <w:basedOn w:val="Normal"/>
    <w:qFormat/>
    <w:pPr>
      <w:spacing w:before="0" w:beforeAutospacing="0" w:after="0" w:afterAutospacing="0"/>
    </w:pPr>
  </w:style>
  <w:style w:type="paragraph" w:styleId="ListParagraph">
    <w:name w:val="List Paragraph"/>
    <w:basedOn w:val="Normal"/>
    <w:qFormat/>
    <w:pPr>
      <w:spacing w:before="0" w:beforeAutospacing="0" w:after="0" w:afterAutospacing="0"/>
      <w:ind w:left="720"/>
      <w:contextualSpacing/>
    </w:pPr>
  </w:style>
  <w:style w:type="paragraph" w:customStyle="1" w:styleId="ApprovalLine">
    <w:name w:val="Approval Line"/>
    <w:basedOn w:val="Normal"/>
    <w:next w:val="Normal"/>
    <w:qFormat/>
    <w:pPr>
      <w:jc w:val="right"/>
    </w:pPr>
    <w:rPr>
      <w:i/>
      <w:iCs/>
    </w:rPr>
  </w:style>
  <w:style w:type="character" w:customStyle="1" w:styleId="Heading2Char">
    <w:name w:val="Heading 2 Char"/>
    <w:basedOn w:val="DefaultParagraphFont"/>
    <w:link w:val="Heading2"/>
    <w:uiPriority w:val="9"/>
    <w:rsid w:val="00FB168E"/>
    <w:rPr>
      <w:rFonts w:ascii="Segoe UI" w:eastAsia="Times New Roman" w:hAnsi="Segoe UI" w:cs="Segoe UI"/>
      <w:b/>
      <w:bCs/>
      <w:sz w:val="28"/>
      <w:szCs w:val="28"/>
    </w:rPr>
  </w:style>
  <w:style w:type="character" w:customStyle="1" w:styleId="Heading1Char">
    <w:name w:val="Heading 1 Char"/>
    <w:basedOn w:val="DefaultParagraphFont"/>
    <w:link w:val="Heading1"/>
    <w:uiPriority w:val="9"/>
    <w:rsid w:val="00FB168E"/>
    <w:rPr>
      <w:rFonts w:ascii="Segoe UI" w:eastAsia="Times New Roman" w:hAnsi="Segoe UI" w:cs="Segoe UI"/>
      <w:kern w:val="28"/>
      <w:sz w:val="52"/>
      <w:szCs w:val="52"/>
    </w:rPr>
  </w:style>
  <w:style w:type="character" w:customStyle="1" w:styleId="Heading3Char">
    <w:name w:val="Heading 3 Char"/>
    <w:basedOn w:val="DefaultParagraphFont"/>
    <w:link w:val="Heading3"/>
    <w:uiPriority w:val="9"/>
    <w:rsid w:val="00FB168E"/>
    <w:rPr>
      <w:rFonts w:ascii="Segoe UI" w:eastAsia="Times New Roman" w:hAnsi="Segoe UI" w:cs="Segoe UI"/>
      <w:b/>
      <w:bCs/>
      <w:sz w:val="24"/>
      <w:szCs w:val="24"/>
    </w:rPr>
  </w:style>
  <w:style w:type="character" w:styleId="Hyperlink">
    <w:name w:val="Hyperlink"/>
    <w:basedOn w:val="DefaultParagraphFont"/>
    <w:uiPriority w:val="99"/>
    <w:unhideWhenUsed/>
    <w:rsid w:val="00FB168E"/>
    <w:rPr>
      <w:color w:val="0563C1" w:themeColor="hyperlink"/>
      <w:u w:val="single"/>
    </w:rPr>
  </w:style>
  <w:style w:type="character" w:styleId="UnresolvedMention">
    <w:name w:val="Unresolved Mention"/>
    <w:basedOn w:val="DefaultParagraphFont"/>
    <w:uiPriority w:val="99"/>
    <w:semiHidden/>
    <w:unhideWhenUsed/>
    <w:rsid w:val="00FB168E"/>
    <w:rPr>
      <w:color w:val="605E5C"/>
      <w:shd w:val="clear" w:color="auto" w:fill="E1DFDD"/>
    </w:rPr>
  </w:style>
  <w:style w:type="paragraph" w:styleId="Header">
    <w:name w:val="header"/>
    <w:basedOn w:val="Normal"/>
    <w:link w:val="HeaderChar"/>
    <w:uiPriority w:val="99"/>
    <w:unhideWhenUsed/>
    <w:rsid w:val="00871D31"/>
    <w:pPr>
      <w:tabs>
        <w:tab w:val="center" w:pos="4680"/>
        <w:tab w:val="right" w:pos="9360"/>
      </w:tabs>
      <w:spacing w:after="0"/>
    </w:pPr>
  </w:style>
  <w:style w:type="character" w:customStyle="1" w:styleId="HeaderChar">
    <w:name w:val="Header Char"/>
    <w:basedOn w:val="DefaultParagraphFont"/>
    <w:link w:val="Header"/>
    <w:uiPriority w:val="99"/>
    <w:rsid w:val="00871D31"/>
  </w:style>
  <w:style w:type="paragraph" w:styleId="Footer">
    <w:name w:val="footer"/>
    <w:basedOn w:val="Normal"/>
    <w:link w:val="FooterChar"/>
    <w:uiPriority w:val="99"/>
    <w:unhideWhenUsed/>
    <w:rsid w:val="00871D31"/>
    <w:pPr>
      <w:tabs>
        <w:tab w:val="center" w:pos="4680"/>
        <w:tab w:val="right" w:pos="9360"/>
      </w:tabs>
      <w:spacing w:after="0"/>
    </w:pPr>
  </w:style>
  <w:style w:type="character" w:customStyle="1" w:styleId="FooterChar">
    <w:name w:val="Footer Char"/>
    <w:basedOn w:val="DefaultParagraphFont"/>
    <w:link w:val="Footer"/>
    <w:uiPriority w:val="99"/>
    <w:rsid w:val="00871D31"/>
  </w:style>
  <w:style w:type="paragraph" w:customStyle="1" w:styleId="font-claude-response-body">
    <w:name w:val="font-claude-response-body"/>
    <w:basedOn w:val="Normal"/>
    <w:rsid w:val="00B0478B"/>
    <w:rPr>
      <w:rFonts w:ascii="Times New Roman" w:hAnsi="Times New Roman" w:cs="Times New Roman"/>
    </w:rPr>
  </w:style>
  <w:style w:type="character" w:styleId="Strong">
    <w:name w:val="Strong"/>
    <w:basedOn w:val="DefaultParagraphFont"/>
    <w:uiPriority w:val="22"/>
    <w:qFormat/>
    <w:rsid w:val="00B0478B"/>
    <w:rPr>
      <w:b/>
      <w:bCs/>
    </w:rPr>
  </w:style>
  <w:style w:type="paragraph" w:customStyle="1" w:styleId="whitespace-normal">
    <w:name w:val="whitespace-normal"/>
    <w:basedOn w:val="Normal"/>
    <w:rsid w:val="00B0478B"/>
    <w:rPr>
      <w:rFonts w:ascii="Times New Roman" w:hAnsi="Times New Roman" w:cs="Times New Roman"/>
    </w:rPr>
  </w:style>
  <w:style w:type="paragraph" w:customStyle="1" w:styleId="ApprovalLine0">
    <w:name w:val="ApprovalLine"/>
    <w:basedOn w:val="BodyText"/>
    <w:qFormat/>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78049">
      <w:bodyDiv w:val="1"/>
      <w:marLeft w:val="0"/>
      <w:marRight w:val="0"/>
      <w:marTop w:val="0"/>
      <w:marBottom w:val="0"/>
      <w:divBdr>
        <w:top w:val="none" w:sz="0" w:space="0" w:color="auto"/>
        <w:left w:val="none" w:sz="0" w:space="0" w:color="auto"/>
        <w:bottom w:val="none" w:sz="0" w:space="0" w:color="auto"/>
        <w:right w:val="none" w:sz="0" w:space="0" w:color="auto"/>
      </w:divBdr>
    </w:div>
    <w:div w:id="59905188">
      <w:bodyDiv w:val="1"/>
      <w:marLeft w:val="0"/>
      <w:marRight w:val="0"/>
      <w:marTop w:val="0"/>
      <w:marBottom w:val="0"/>
      <w:divBdr>
        <w:top w:val="none" w:sz="0" w:space="0" w:color="auto"/>
        <w:left w:val="none" w:sz="0" w:space="0" w:color="auto"/>
        <w:bottom w:val="none" w:sz="0" w:space="0" w:color="auto"/>
        <w:right w:val="none" w:sz="0" w:space="0" w:color="auto"/>
      </w:divBdr>
    </w:div>
    <w:div w:id="172260489">
      <w:bodyDiv w:val="1"/>
      <w:marLeft w:val="0"/>
      <w:marRight w:val="0"/>
      <w:marTop w:val="0"/>
      <w:marBottom w:val="0"/>
      <w:divBdr>
        <w:top w:val="none" w:sz="0" w:space="0" w:color="auto"/>
        <w:left w:val="none" w:sz="0" w:space="0" w:color="auto"/>
        <w:bottom w:val="none" w:sz="0" w:space="0" w:color="auto"/>
        <w:right w:val="none" w:sz="0" w:space="0" w:color="auto"/>
      </w:divBdr>
    </w:div>
    <w:div w:id="779957192">
      <w:bodyDiv w:val="1"/>
      <w:marLeft w:val="0"/>
      <w:marRight w:val="0"/>
      <w:marTop w:val="0"/>
      <w:marBottom w:val="0"/>
      <w:divBdr>
        <w:top w:val="none" w:sz="0" w:space="0" w:color="auto"/>
        <w:left w:val="none" w:sz="0" w:space="0" w:color="auto"/>
        <w:bottom w:val="none" w:sz="0" w:space="0" w:color="auto"/>
        <w:right w:val="none" w:sz="0" w:space="0" w:color="auto"/>
      </w:divBdr>
    </w:div>
    <w:div w:id="1319577661">
      <w:bodyDiv w:val="1"/>
      <w:marLeft w:val="0"/>
      <w:marRight w:val="0"/>
      <w:marTop w:val="0"/>
      <w:marBottom w:val="0"/>
      <w:divBdr>
        <w:top w:val="none" w:sz="0" w:space="0" w:color="auto"/>
        <w:left w:val="none" w:sz="0" w:space="0" w:color="auto"/>
        <w:bottom w:val="none" w:sz="0" w:space="0" w:color="auto"/>
        <w:right w:val="none" w:sz="0" w:space="0" w:color="auto"/>
      </w:divBdr>
    </w:div>
    <w:div w:id="1335958703">
      <w:bodyDiv w:val="1"/>
      <w:marLeft w:val="0"/>
      <w:marRight w:val="0"/>
      <w:marTop w:val="0"/>
      <w:marBottom w:val="0"/>
      <w:divBdr>
        <w:top w:val="none" w:sz="0" w:space="0" w:color="auto"/>
        <w:left w:val="none" w:sz="0" w:space="0" w:color="auto"/>
        <w:bottom w:val="none" w:sz="0" w:space="0" w:color="auto"/>
        <w:right w:val="none" w:sz="0" w:space="0" w:color="auto"/>
      </w:divBdr>
    </w:div>
    <w:div w:id="1606111241">
      <w:bodyDiv w:val="1"/>
      <w:marLeft w:val="0"/>
      <w:marRight w:val="0"/>
      <w:marTop w:val="0"/>
      <w:marBottom w:val="0"/>
      <w:divBdr>
        <w:top w:val="none" w:sz="0" w:space="0" w:color="auto"/>
        <w:left w:val="none" w:sz="0" w:space="0" w:color="auto"/>
        <w:bottom w:val="none" w:sz="0" w:space="0" w:color="auto"/>
        <w:right w:val="none" w:sz="0" w:space="0" w:color="auto"/>
      </w:divBdr>
    </w:div>
    <w:div w:id="171200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Ron Kirsop</cp:lastModifiedBy>
  <cp:revision>2</cp:revision>
  <dcterms:created xsi:type="dcterms:W3CDTF">2026-08-04T15:11:00Z</dcterms:created>
  <dcterms:modified xsi:type="dcterms:W3CDTF">2026-08-04T15:15:00Z</dcterms:modified>
</cp:coreProperties>
</file>