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59B7" w14:textId="77777777" w:rsidR="000A1B5C" w:rsidRPr="00AA4F58" w:rsidRDefault="000A1B5C" w:rsidP="000A1B5C">
      <w:pPr>
        <w:widowControl w:val="0"/>
        <w:autoSpaceDE w:val="0"/>
        <w:autoSpaceDN w:val="0"/>
        <w:adjustRightInd w:val="0"/>
        <w:spacing w:after="0" w:line="240" w:lineRule="auto"/>
        <w:jc w:val="center"/>
        <w:rPr>
          <w:rFonts w:ascii="Century Gothic" w:eastAsia="Times New Roman" w:hAnsi="Century Gothic" w:cs="Times New Roman"/>
          <w:b/>
          <w:bCs/>
          <w:sz w:val="36"/>
          <w:szCs w:val="36"/>
        </w:rPr>
      </w:pPr>
      <w:r w:rsidRPr="00AA4F58">
        <w:rPr>
          <w:rFonts w:ascii="Century Gothic" w:eastAsia="Times New Roman" w:hAnsi="Century Gothic" w:cs="Times New Roman"/>
          <w:b/>
          <w:bCs/>
          <w:sz w:val="36"/>
          <w:szCs w:val="36"/>
        </w:rPr>
        <w:t>Optional Policies</w:t>
      </w:r>
    </w:p>
    <w:p w14:paraId="0B479FFD" w14:textId="77777777" w:rsidR="000A1B5C" w:rsidRDefault="000A1B5C" w:rsidP="000A1B5C">
      <w:pPr>
        <w:shd w:val="clear" w:color="auto" w:fill="FFFFFF"/>
        <w:spacing w:after="80" w:line="240" w:lineRule="auto"/>
        <w:jc w:val="both"/>
        <w:textAlignment w:val="top"/>
        <w:rPr>
          <w:rFonts w:ascii="Arial" w:eastAsia="Times New Roman" w:hAnsi="Arial" w:cs="Arial"/>
          <w:b/>
          <w:color w:val="000000" w:themeColor="text1"/>
          <w:sz w:val="20"/>
          <w:szCs w:val="20"/>
          <w:u w:val="single"/>
        </w:rPr>
      </w:pPr>
    </w:p>
    <w:p w14:paraId="3AFB65DB" w14:textId="0A196515" w:rsidR="000A1B5C" w:rsidRPr="00735A63" w:rsidRDefault="000A1B5C" w:rsidP="000A1B5C">
      <w:pPr>
        <w:shd w:val="clear" w:color="auto" w:fill="FFFFFF"/>
        <w:spacing w:after="80" w:line="240" w:lineRule="auto"/>
        <w:jc w:val="both"/>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I-Introduction</w:t>
      </w:r>
    </w:p>
    <w:p w14:paraId="597F4EC2" w14:textId="3D1EAC99" w:rsidR="000A1B5C" w:rsidRPr="007F6CBB" w:rsidRDefault="000A1B5C" w:rsidP="007F6CBB">
      <w:pPr>
        <w:pStyle w:val="ListParagraph"/>
        <w:widowControl w:val="0"/>
        <w:numPr>
          <w:ilvl w:val="0"/>
          <w:numId w:val="2"/>
        </w:numPr>
        <w:autoSpaceDE w:val="0"/>
        <w:autoSpaceDN w:val="0"/>
        <w:adjustRightInd w:val="0"/>
        <w:spacing w:after="120" w:line="240" w:lineRule="auto"/>
        <w:contextualSpacing w:val="0"/>
        <w:jc w:val="both"/>
        <w:rPr>
          <w:rFonts w:ascii="Arial" w:eastAsia="Times New Roman" w:hAnsi="Arial" w:cs="Arial"/>
          <w:color w:val="000000" w:themeColor="text1"/>
          <w:sz w:val="20"/>
          <w:szCs w:val="20"/>
        </w:rPr>
      </w:pPr>
      <w:r w:rsidRPr="007F6CBB">
        <w:rPr>
          <w:rFonts w:ascii="Arial" w:eastAsia="Times New Roman" w:hAnsi="Arial" w:cs="Arial"/>
          <w:b/>
          <w:color w:val="000000" w:themeColor="text1"/>
          <w:sz w:val="20"/>
          <w:szCs w:val="20"/>
        </w:rPr>
        <w:t>Mission, Vision and Values Statement</w:t>
      </w:r>
      <w:r w:rsidRPr="007F6CBB">
        <w:rPr>
          <w:rFonts w:ascii="Arial" w:eastAsia="Times New Roman" w:hAnsi="Arial" w:cs="Arial"/>
          <w:color w:val="000000" w:themeColor="text1"/>
          <w:sz w:val="20"/>
          <w:szCs w:val="20"/>
        </w:rPr>
        <w:t xml:space="preserve"> </w:t>
      </w:r>
      <w:r w:rsidR="00187559">
        <w:rPr>
          <w:rFonts w:ascii="Arial" w:eastAsia="Times New Roman" w:hAnsi="Arial" w:cs="Arial"/>
          <w:color w:val="000000" w:themeColor="text1"/>
          <w:sz w:val="20"/>
          <w:szCs w:val="20"/>
        </w:rPr>
        <w:t>–</w:t>
      </w:r>
      <w:r w:rsidRPr="007F6CBB">
        <w:rPr>
          <w:rFonts w:ascii="Arial" w:eastAsia="Times New Roman" w:hAnsi="Arial" w:cs="Arial"/>
          <w:color w:val="000000" w:themeColor="text1"/>
          <w:sz w:val="20"/>
          <w:szCs w:val="20"/>
        </w:rPr>
        <w:t xml:space="preserve"> </w:t>
      </w:r>
      <w:r w:rsidR="00187559">
        <w:rPr>
          <w:rFonts w:ascii="Arial" w:eastAsia="Times New Roman" w:hAnsi="Arial" w:cs="Arial"/>
          <w:color w:val="000000" w:themeColor="text1"/>
          <w:sz w:val="20"/>
          <w:szCs w:val="20"/>
        </w:rPr>
        <w:t xml:space="preserve">Communicates the company’s </w:t>
      </w:r>
      <w:r w:rsidR="008F3B19">
        <w:rPr>
          <w:rFonts w:ascii="Arial" w:eastAsia="Times New Roman" w:hAnsi="Arial" w:cs="Arial"/>
          <w:color w:val="000000" w:themeColor="text1"/>
          <w:sz w:val="20"/>
          <w:szCs w:val="20"/>
        </w:rPr>
        <w:t xml:space="preserve">mission, </w:t>
      </w:r>
      <w:proofErr w:type="gramStart"/>
      <w:r w:rsidR="008F3B19">
        <w:rPr>
          <w:rFonts w:ascii="Arial" w:eastAsia="Times New Roman" w:hAnsi="Arial" w:cs="Arial"/>
          <w:color w:val="000000" w:themeColor="text1"/>
          <w:sz w:val="20"/>
          <w:szCs w:val="20"/>
        </w:rPr>
        <w:t>vision</w:t>
      </w:r>
      <w:proofErr w:type="gramEnd"/>
      <w:r w:rsidR="008F3B19">
        <w:rPr>
          <w:rFonts w:ascii="Arial" w:eastAsia="Times New Roman" w:hAnsi="Arial" w:cs="Arial"/>
          <w:color w:val="000000" w:themeColor="text1"/>
          <w:sz w:val="20"/>
          <w:szCs w:val="20"/>
        </w:rPr>
        <w:t xml:space="preserve"> and values</w:t>
      </w:r>
      <w:r w:rsidR="00776DD5">
        <w:rPr>
          <w:rFonts w:ascii="Arial" w:eastAsia="Times New Roman" w:hAnsi="Arial" w:cs="Arial"/>
          <w:color w:val="000000" w:themeColor="text1"/>
          <w:sz w:val="20"/>
          <w:szCs w:val="20"/>
        </w:rPr>
        <w:t xml:space="preserve"> to employees.</w:t>
      </w:r>
    </w:p>
    <w:p w14:paraId="03FD5E45" w14:textId="02195EE3" w:rsidR="000A1B5C" w:rsidRPr="007F6CBB" w:rsidRDefault="000A1B5C" w:rsidP="007F6CBB">
      <w:pPr>
        <w:pStyle w:val="ListParagraph"/>
        <w:widowControl w:val="0"/>
        <w:numPr>
          <w:ilvl w:val="0"/>
          <w:numId w:val="2"/>
        </w:numPr>
        <w:autoSpaceDE w:val="0"/>
        <w:autoSpaceDN w:val="0"/>
        <w:adjustRightInd w:val="0"/>
        <w:spacing w:after="120" w:line="240" w:lineRule="auto"/>
        <w:contextualSpacing w:val="0"/>
        <w:jc w:val="both"/>
        <w:rPr>
          <w:rFonts w:ascii="Arial" w:eastAsia="Times New Roman" w:hAnsi="Arial" w:cs="Arial"/>
          <w:color w:val="000000" w:themeColor="text1"/>
          <w:sz w:val="20"/>
          <w:szCs w:val="20"/>
        </w:rPr>
      </w:pPr>
      <w:r w:rsidRPr="007F6CBB">
        <w:rPr>
          <w:rFonts w:ascii="Arial" w:eastAsia="Times New Roman" w:hAnsi="Arial" w:cs="Arial"/>
          <w:b/>
          <w:color w:val="000000" w:themeColor="text1"/>
          <w:sz w:val="20"/>
          <w:szCs w:val="20"/>
        </w:rPr>
        <w:t>Diversity and Inclusion Mission Statement</w:t>
      </w:r>
      <w:r w:rsidRPr="007F6CBB">
        <w:rPr>
          <w:rFonts w:ascii="Arial" w:eastAsia="Times New Roman" w:hAnsi="Arial" w:cs="Arial"/>
          <w:color w:val="000000" w:themeColor="text1"/>
          <w:sz w:val="20"/>
          <w:szCs w:val="20"/>
        </w:rPr>
        <w:t xml:space="preserve"> – Communicates the company’s mission to make diversity and inclusion one of its core values by </w:t>
      </w:r>
      <w:r w:rsidRPr="007F6CBB">
        <w:rPr>
          <w:rFonts w:ascii="Arial" w:eastAsia="Times New Roman" w:hAnsi="Arial" w:cs="Arial"/>
          <w:sz w:val="20"/>
          <w:szCs w:val="20"/>
        </w:rPr>
        <w:t>promoting a diverse and inclusive environment for all</w:t>
      </w:r>
      <w:r w:rsidRPr="007F6CBB">
        <w:rPr>
          <w:rFonts w:ascii="Arial" w:eastAsia="Times New Roman" w:hAnsi="Arial" w:cs="Arial"/>
          <w:color w:val="000000" w:themeColor="text1"/>
          <w:sz w:val="20"/>
          <w:szCs w:val="20"/>
        </w:rPr>
        <w:t>.</w:t>
      </w:r>
    </w:p>
    <w:p w14:paraId="0DC417AD" w14:textId="77777777" w:rsidR="000A1B5C" w:rsidRPr="00D9494A" w:rsidRDefault="000A1B5C" w:rsidP="000A1B5C">
      <w:pPr>
        <w:widowControl w:val="0"/>
        <w:autoSpaceDE w:val="0"/>
        <w:autoSpaceDN w:val="0"/>
        <w:adjustRightInd w:val="0"/>
        <w:spacing w:after="80" w:line="240" w:lineRule="auto"/>
        <w:jc w:val="both"/>
        <w:rPr>
          <w:rFonts w:ascii="Arial" w:eastAsia="Times New Roman" w:hAnsi="Arial" w:cs="Arial"/>
          <w:color w:val="000000" w:themeColor="text1"/>
          <w:sz w:val="20"/>
          <w:szCs w:val="20"/>
        </w:rPr>
      </w:pPr>
    </w:p>
    <w:p w14:paraId="04695A4F" w14:textId="77777777" w:rsidR="000A1B5C" w:rsidRPr="00735A63" w:rsidRDefault="000A1B5C" w:rsidP="000A1B5C">
      <w:pPr>
        <w:shd w:val="clear" w:color="auto" w:fill="FFFFFF"/>
        <w:spacing w:after="80" w:line="240" w:lineRule="auto"/>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II-Employment Practices</w:t>
      </w:r>
    </w:p>
    <w:p w14:paraId="58BA41B8" w14:textId="5AA3C2BF" w:rsidR="000A1B5C" w:rsidRPr="0016738A" w:rsidRDefault="000A1B5C" w:rsidP="0016738A">
      <w:pPr>
        <w:pStyle w:val="ListParagraph"/>
        <w:widowControl w:val="0"/>
        <w:numPr>
          <w:ilvl w:val="0"/>
          <w:numId w:val="3"/>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Workplace Bullying</w:t>
      </w:r>
      <w:r w:rsidRPr="0016738A">
        <w:rPr>
          <w:rFonts w:ascii="Arial" w:eastAsia="Times New Roman" w:hAnsi="Arial" w:cs="Arial"/>
          <w:color w:val="000000" w:themeColor="text1"/>
          <w:sz w:val="20"/>
          <w:szCs w:val="20"/>
        </w:rPr>
        <w:t xml:space="preserve"> – Defines bullying behaviors and to whom employees should report this behavior.</w:t>
      </w:r>
    </w:p>
    <w:p w14:paraId="7C781272" w14:textId="45EEAE58" w:rsidR="000A1B5C" w:rsidRPr="0016738A" w:rsidRDefault="000A1B5C" w:rsidP="0016738A">
      <w:pPr>
        <w:pStyle w:val="ListParagraph"/>
        <w:widowControl w:val="0"/>
        <w:numPr>
          <w:ilvl w:val="0"/>
          <w:numId w:val="3"/>
        </w:numPr>
        <w:autoSpaceDE w:val="0"/>
        <w:autoSpaceDN w:val="0"/>
        <w:adjustRightInd w:val="0"/>
        <w:spacing w:after="120" w:line="240" w:lineRule="auto"/>
        <w:contextualSpacing w:val="0"/>
        <w:rPr>
          <w:rFonts w:ascii="Arial" w:eastAsia="Times New Roman" w:hAnsi="Arial" w:cs="Arial"/>
          <w:sz w:val="20"/>
          <w:szCs w:val="20"/>
        </w:rPr>
      </w:pPr>
      <w:r w:rsidRPr="0016738A">
        <w:rPr>
          <w:rFonts w:ascii="Arial" w:eastAsia="Times New Roman" w:hAnsi="Arial" w:cs="Arial"/>
          <w:b/>
          <w:color w:val="000000" w:themeColor="text1"/>
          <w:sz w:val="20"/>
          <w:szCs w:val="20"/>
        </w:rPr>
        <w:t>Gender Inclusion</w:t>
      </w:r>
      <w:r w:rsidRPr="0016738A">
        <w:rPr>
          <w:rFonts w:ascii="Arial" w:eastAsia="Times New Roman" w:hAnsi="Arial" w:cs="Arial"/>
          <w:color w:val="000000" w:themeColor="text1"/>
          <w:sz w:val="20"/>
          <w:szCs w:val="20"/>
        </w:rPr>
        <w:t xml:space="preserve"> – </w:t>
      </w:r>
      <w:r w:rsidRPr="0016738A">
        <w:rPr>
          <w:rFonts w:ascii="Arial" w:eastAsia="Times New Roman" w:hAnsi="Arial" w:cs="Arial"/>
          <w:sz w:val="20"/>
          <w:szCs w:val="20"/>
        </w:rPr>
        <w:t>Policy provides guidelines to address the needs of transgender and gender-nonconforming employees and clarifies how federal and state law should be implemented in situations where questions may arise about how to protect the legal rights or safety of such employees.</w:t>
      </w:r>
    </w:p>
    <w:p w14:paraId="6E66904F" w14:textId="77777777" w:rsidR="004D4A6A" w:rsidRDefault="004D4A6A">
      <w:pPr>
        <w:rPr>
          <w:rFonts w:ascii="Arial" w:hAnsi="Arial" w:cs="Arial"/>
          <w:sz w:val="20"/>
          <w:szCs w:val="20"/>
        </w:rPr>
      </w:pPr>
    </w:p>
    <w:p w14:paraId="720EC94E" w14:textId="77777777" w:rsidR="000A1B5C" w:rsidRPr="00735A63" w:rsidRDefault="000A1B5C" w:rsidP="000A1B5C">
      <w:pPr>
        <w:shd w:val="clear" w:color="auto" w:fill="FFFFFF"/>
        <w:spacing w:after="80" w:line="240" w:lineRule="auto"/>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III-Employee Relations</w:t>
      </w:r>
    </w:p>
    <w:p w14:paraId="3C4DA9B3" w14:textId="1635FD7A" w:rsidR="000A1B5C" w:rsidRPr="0016738A" w:rsidRDefault="000A1B5C" w:rsidP="0016738A">
      <w:pPr>
        <w:pStyle w:val="ListParagraph"/>
        <w:widowControl w:val="0"/>
        <w:numPr>
          <w:ilvl w:val="0"/>
          <w:numId w:val="4"/>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Recruitment &amp; Placement</w:t>
      </w:r>
      <w:r w:rsidRPr="0016738A">
        <w:rPr>
          <w:rFonts w:ascii="Arial" w:eastAsia="Times New Roman" w:hAnsi="Arial" w:cs="Arial"/>
          <w:color w:val="000000" w:themeColor="text1"/>
          <w:sz w:val="20"/>
          <w:szCs w:val="20"/>
        </w:rPr>
        <w:t xml:space="preserve"> – Explains company’s policy regarding internal job opportunities.</w:t>
      </w:r>
    </w:p>
    <w:p w14:paraId="0A741551" w14:textId="5E142EBD" w:rsidR="000A1B5C" w:rsidRPr="00542C53" w:rsidRDefault="000A1B5C" w:rsidP="0016738A">
      <w:pPr>
        <w:pStyle w:val="ListParagraph"/>
        <w:widowControl w:val="0"/>
        <w:numPr>
          <w:ilvl w:val="0"/>
          <w:numId w:val="4"/>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Orientation Program</w:t>
      </w:r>
      <w:r w:rsidRPr="0016738A">
        <w:rPr>
          <w:rFonts w:ascii="Arial" w:eastAsia="Times New Roman" w:hAnsi="Arial" w:cs="Arial"/>
          <w:color w:val="000000" w:themeColor="text1"/>
          <w:sz w:val="20"/>
          <w:szCs w:val="20"/>
        </w:rPr>
        <w:t xml:space="preserve"> – Explains what new employees may expect during the first few weeks on </w:t>
      </w:r>
      <w:r w:rsidRPr="00542C53">
        <w:rPr>
          <w:rFonts w:ascii="Arial" w:eastAsia="Times New Roman" w:hAnsi="Arial" w:cs="Arial"/>
          <w:color w:val="000000" w:themeColor="text1"/>
          <w:sz w:val="20"/>
          <w:szCs w:val="20"/>
        </w:rPr>
        <w:t>the job.</w:t>
      </w:r>
    </w:p>
    <w:p w14:paraId="22627D60" w14:textId="55EFE6C7" w:rsidR="000A1B5C" w:rsidRPr="00542C53" w:rsidRDefault="000A1B5C" w:rsidP="0016738A">
      <w:pPr>
        <w:pStyle w:val="ListParagraph"/>
        <w:widowControl w:val="0"/>
        <w:numPr>
          <w:ilvl w:val="0"/>
          <w:numId w:val="4"/>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542C53">
        <w:rPr>
          <w:rFonts w:ascii="Arial" w:eastAsia="Times New Roman" w:hAnsi="Arial" w:cs="Arial"/>
          <w:b/>
          <w:color w:val="000000" w:themeColor="text1"/>
          <w:sz w:val="20"/>
          <w:szCs w:val="20"/>
        </w:rPr>
        <w:t>Job Descriptions</w:t>
      </w:r>
      <w:r w:rsidRPr="00542C53">
        <w:rPr>
          <w:rFonts w:ascii="Arial" w:eastAsia="Times New Roman" w:hAnsi="Arial" w:cs="Arial"/>
          <w:color w:val="000000" w:themeColor="text1"/>
          <w:sz w:val="20"/>
          <w:szCs w:val="20"/>
        </w:rPr>
        <w:t xml:space="preserve"> – Explains how an employee may obtain a written copy of their job description.</w:t>
      </w:r>
    </w:p>
    <w:p w14:paraId="37708126" w14:textId="4E82E77A" w:rsidR="000A1B5C" w:rsidRPr="00542C53" w:rsidRDefault="000A1B5C" w:rsidP="0016738A">
      <w:pPr>
        <w:pStyle w:val="ListParagraph"/>
        <w:widowControl w:val="0"/>
        <w:numPr>
          <w:ilvl w:val="0"/>
          <w:numId w:val="4"/>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542C53">
        <w:rPr>
          <w:rFonts w:ascii="Arial" w:eastAsia="Times New Roman" w:hAnsi="Arial" w:cs="Arial"/>
          <w:b/>
          <w:color w:val="000000" w:themeColor="text1"/>
          <w:sz w:val="20"/>
          <w:szCs w:val="20"/>
        </w:rPr>
        <w:t>Performance Progress &amp; Appraisal Plan</w:t>
      </w:r>
      <w:r w:rsidRPr="00542C53">
        <w:rPr>
          <w:rFonts w:ascii="Arial" w:eastAsia="Times New Roman" w:hAnsi="Arial" w:cs="Arial"/>
          <w:color w:val="000000" w:themeColor="text1"/>
          <w:sz w:val="20"/>
          <w:szCs w:val="20"/>
        </w:rPr>
        <w:t xml:space="preserve"> – Explains the company’s performance evaluation process.</w:t>
      </w:r>
    </w:p>
    <w:p w14:paraId="72176E43" w14:textId="420E481A" w:rsidR="000A1B5C" w:rsidRPr="00542C53" w:rsidRDefault="000A1B5C" w:rsidP="0016738A">
      <w:pPr>
        <w:pStyle w:val="ListParagraph"/>
        <w:widowControl w:val="0"/>
        <w:numPr>
          <w:ilvl w:val="0"/>
          <w:numId w:val="4"/>
        </w:numPr>
        <w:autoSpaceDE w:val="0"/>
        <w:autoSpaceDN w:val="0"/>
        <w:adjustRightInd w:val="0"/>
        <w:spacing w:after="120" w:line="240" w:lineRule="auto"/>
        <w:contextualSpacing w:val="0"/>
        <w:rPr>
          <w:rFonts w:ascii="Arial" w:eastAsia="Times New Roman" w:hAnsi="Arial" w:cs="Arial"/>
          <w:b/>
          <w:bCs/>
          <w:color w:val="000000" w:themeColor="text1"/>
          <w:sz w:val="20"/>
          <w:szCs w:val="20"/>
        </w:rPr>
      </w:pPr>
      <w:r w:rsidRPr="00542C53">
        <w:rPr>
          <w:rFonts w:ascii="Arial" w:eastAsia="Times New Roman" w:hAnsi="Arial" w:cs="Arial"/>
          <w:b/>
          <w:bCs/>
          <w:color w:val="000000" w:themeColor="text1"/>
          <w:sz w:val="20"/>
          <w:szCs w:val="20"/>
        </w:rPr>
        <w:t>Solicitation &amp; Distribution</w:t>
      </w:r>
      <w:r w:rsidR="00677866" w:rsidRPr="00542C53">
        <w:rPr>
          <w:rFonts w:ascii="Arial" w:eastAsia="Times New Roman" w:hAnsi="Arial" w:cs="Arial"/>
          <w:b/>
          <w:bCs/>
          <w:color w:val="000000" w:themeColor="text1"/>
          <w:sz w:val="20"/>
          <w:szCs w:val="20"/>
        </w:rPr>
        <w:t xml:space="preserve"> - </w:t>
      </w:r>
      <w:r w:rsidR="00677866" w:rsidRPr="00677866">
        <w:rPr>
          <w:rFonts w:ascii="Arial" w:eastAsia="Times New Roman" w:hAnsi="Arial" w:cs="Arial"/>
          <w:color w:val="000000" w:themeColor="text1"/>
          <w:sz w:val="20"/>
          <w:szCs w:val="20"/>
        </w:rPr>
        <w:t>Informs employees of the company’s policy regarding</w:t>
      </w:r>
      <w:r w:rsidR="00542C53" w:rsidRPr="00542C53">
        <w:rPr>
          <w:rFonts w:ascii="Arial" w:eastAsia="Times New Roman" w:hAnsi="Arial" w:cs="Arial"/>
          <w:color w:val="000000" w:themeColor="text1"/>
          <w:sz w:val="20"/>
          <w:szCs w:val="20"/>
        </w:rPr>
        <w:t xml:space="preserve"> solicitation.</w:t>
      </w:r>
    </w:p>
    <w:p w14:paraId="72DBB72A" w14:textId="77777777" w:rsidR="000A1B5C" w:rsidRPr="00542C53" w:rsidRDefault="000A1B5C">
      <w:pPr>
        <w:rPr>
          <w:rFonts w:ascii="Arial" w:hAnsi="Arial" w:cs="Arial"/>
          <w:sz w:val="20"/>
          <w:szCs w:val="20"/>
        </w:rPr>
      </w:pPr>
    </w:p>
    <w:p w14:paraId="10A6AB88" w14:textId="77777777" w:rsidR="000A1B5C" w:rsidRPr="00735A63" w:rsidRDefault="000A1B5C" w:rsidP="000A1B5C">
      <w:pPr>
        <w:shd w:val="clear" w:color="auto" w:fill="FFFFFF"/>
        <w:spacing w:after="80" w:line="240" w:lineRule="auto"/>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IV-Benefit Programs</w:t>
      </w:r>
    </w:p>
    <w:p w14:paraId="650F2BCA" w14:textId="3A493610" w:rsidR="000A1B5C" w:rsidRPr="00542C53"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542C53">
        <w:rPr>
          <w:rFonts w:ascii="Arial" w:eastAsia="Times New Roman" w:hAnsi="Arial" w:cs="Arial"/>
          <w:b/>
          <w:bCs/>
          <w:color w:val="000000" w:themeColor="text1"/>
          <w:sz w:val="20"/>
          <w:szCs w:val="20"/>
        </w:rPr>
        <w:t>Vacation</w:t>
      </w:r>
      <w:r w:rsidR="007306DB" w:rsidRPr="00542C53">
        <w:rPr>
          <w:rFonts w:ascii="Arial" w:eastAsia="Times New Roman" w:hAnsi="Arial" w:cs="Arial"/>
          <w:b/>
          <w:bCs/>
          <w:color w:val="000000" w:themeColor="text1"/>
          <w:sz w:val="20"/>
          <w:szCs w:val="20"/>
        </w:rPr>
        <w:t xml:space="preserve"> </w:t>
      </w:r>
      <w:r w:rsidRPr="00542C53">
        <w:rPr>
          <w:rFonts w:ascii="Arial" w:eastAsia="Times New Roman" w:hAnsi="Arial" w:cs="Arial"/>
          <w:b/>
          <w:bCs/>
          <w:color w:val="000000" w:themeColor="text1"/>
          <w:sz w:val="20"/>
          <w:szCs w:val="20"/>
        </w:rPr>
        <w:t>/</w:t>
      </w:r>
      <w:r w:rsidR="007306DB" w:rsidRPr="00542C53">
        <w:rPr>
          <w:rFonts w:ascii="Arial" w:eastAsia="Times New Roman" w:hAnsi="Arial" w:cs="Arial"/>
          <w:b/>
          <w:bCs/>
          <w:color w:val="000000" w:themeColor="text1"/>
          <w:sz w:val="20"/>
          <w:szCs w:val="20"/>
        </w:rPr>
        <w:t xml:space="preserve"> </w:t>
      </w:r>
      <w:r w:rsidRPr="00542C53">
        <w:rPr>
          <w:rFonts w:ascii="Arial" w:eastAsia="Times New Roman" w:hAnsi="Arial" w:cs="Arial"/>
          <w:b/>
          <w:bCs/>
          <w:color w:val="000000" w:themeColor="text1"/>
          <w:sz w:val="20"/>
          <w:szCs w:val="20"/>
        </w:rPr>
        <w:t>Paid Time Off</w:t>
      </w:r>
      <w:r w:rsidR="007306DB" w:rsidRPr="00542C53">
        <w:rPr>
          <w:rFonts w:ascii="Arial" w:eastAsia="Times New Roman" w:hAnsi="Arial" w:cs="Arial"/>
          <w:b/>
          <w:bCs/>
          <w:color w:val="000000" w:themeColor="text1"/>
          <w:sz w:val="20"/>
          <w:szCs w:val="20"/>
        </w:rPr>
        <w:t xml:space="preserve"> </w:t>
      </w:r>
      <w:r w:rsidRPr="00542C53">
        <w:rPr>
          <w:rFonts w:ascii="Arial" w:eastAsia="Times New Roman" w:hAnsi="Arial" w:cs="Arial"/>
          <w:b/>
          <w:bCs/>
          <w:color w:val="000000" w:themeColor="text1"/>
          <w:sz w:val="20"/>
          <w:szCs w:val="20"/>
        </w:rPr>
        <w:t>/</w:t>
      </w:r>
      <w:r w:rsidR="007306DB" w:rsidRPr="00542C53">
        <w:rPr>
          <w:rFonts w:ascii="Arial" w:eastAsia="Times New Roman" w:hAnsi="Arial" w:cs="Arial"/>
          <w:b/>
          <w:bCs/>
          <w:color w:val="000000" w:themeColor="text1"/>
          <w:sz w:val="20"/>
          <w:szCs w:val="20"/>
        </w:rPr>
        <w:t xml:space="preserve"> </w:t>
      </w:r>
      <w:r w:rsidRPr="00542C53">
        <w:rPr>
          <w:rFonts w:ascii="Arial" w:eastAsia="Times New Roman" w:hAnsi="Arial" w:cs="Arial"/>
          <w:b/>
          <w:bCs/>
          <w:color w:val="000000" w:themeColor="text1"/>
          <w:sz w:val="20"/>
          <w:szCs w:val="20"/>
        </w:rPr>
        <w:t xml:space="preserve">Personal Days </w:t>
      </w:r>
      <w:r w:rsidRPr="00542C53">
        <w:rPr>
          <w:rFonts w:ascii="Arial" w:eastAsia="Times New Roman" w:hAnsi="Arial" w:cs="Arial"/>
          <w:color w:val="000000" w:themeColor="text1"/>
          <w:sz w:val="20"/>
          <w:szCs w:val="20"/>
        </w:rPr>
        <w:t>– Explains the company’s policy on paid time off.</w:t>
      </w:r>
    </w:p>
    <w:p w14:paraId="120FC4BE" w14:textId="17B479C4" w:rsidR="000A1B5C" w:rsidRPr="00542C53"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542C53">
        <w:rPr>
          <w:rFonts w:ascii="Arial" w:eastAsia="Times New Roman" w:hAnsi="Arial" w:cs="Arial"/>
          <w:b/>
          <w:bCs/>
          <w:color w:val="000000" w:themeColor="text1"/>
          <w:sz w:val="20"/>
          <w:szCs w:val="20"/>
        </w:rPr>
        <w:t>Benefits</w:t>
      </w:r>
      <w:r w:rsidRPr="00542C53">
        <w:rPr>
          <w:rFonts w:ascii="Arial" w:eastAsia="Times New Roman" w:hAnsi="Arial" w:cs="Arial"/>
          <w:color w:val="000000" w:themeColor="text1"/>
          <w:sz w:val="20"/>
          <w:szCs w:val="20"/>
        </w:rPr>
        <w:t xml:space="preserve"> (Single Policy) – Lists benefits</w:t>
      </w:r>
      <w:r w:rsidR="002C4877" w:rsidRPr="00542C53">
        <w:rPr>
          <w:rFonts w:ascii="Arial" w:eastAsia="Times New Roman" w:hAnsi="Arial" w:cs="Arial"/>
          <w:color w:val="000000" w:themeColor="text1"/>
          <w:sz w:val="20"/>
          <w:szCs w:val="20"/>
        </w:rPr>
        <w:t xml:space="preserve"> offered</w:t>
      </w:r>
      <w:r w:rsidRPr="00542C53">
        <w:rPr>
          <w:rFonts w:ascii="Arial" w:eastAsia="Times New Roman" w:hAnsi="Arial" w:cs="Arial"/>
          <w:color w:val="000000" w:themeColor="text1"/>
          <w:sz w:val="20"/>
          <w:szCs w:val="20"/>
        </w:rPr>
        <w:t xml:space="preserve"> and direct</w:t>
      </w:r>
      <w:r w:rsidR="002C4877" w:rsidRPr="00542C53">
        <w:rPr>
          <w:rFonts w:ascii="Arial" w:eastAsia="Times New Roman" w:hAnsi="Arial" w:cs="Arial"/>
          <w:color w:val="000000" w:themeColor="text1"/>
          <w:sz w:val="20"/>
          <w:szCs w:val="20"/>
        </w:rPr>
        <w:t>s</w:t>
      </w:r>
      <w:r w:rsidRPr="00542C53">
        <w:rPr>
          <w:rFonts w:ascii="Arial" w:eastAsia="Times New Roman" w:hAnsi="Arial" w:cs="Arial"/>
          <w:color w:val="000000" w:themeColor="text1"/>
          <w:sz w:val="20"/>
          <w:szCs w:val="20"/>
        </w:rPr>
        <w:t xml:space="preserve"> employees to the </w:t>
      </w:r>
      <w:r w:rsidR="00695998">
        <w:rPr>
          <w:rFonts w:ascii="Arial" w:eastAsia="Times New Roman" w:hAnsi="Arial" w:cs="Arial"/>
          <w:color w:val="000000" w:themeColor="text1"/>
          <w:sz w:val="20"/>
          <w:szCs w:val="20"/>
        </w:rPr>
        <w:t>Summary Plan Description (</w:t>
      </w:r>
      <w:r w:rsidRPr="00542C53">
        <w:rPr>
          <w:rFonts w:ascii="Arial" w:eastAsia="Times New Roman" w:hAnsi="Arial" w:cs="Arial"/>
          <w:color w:val="000000" w:themeColor="text1"/>
          <w:sz w:val="20"/>
          <w:szCs w:val="20"/>
        </w:rPr>
        <w:t>SPD</w:t>
      </w:r>
      <w:r w:rsidR="00695998">
        <w:rPr>
          <w:rFonts w:ascii="Arial" w:eastAsia="Times New Roman" w:hAnsi="Arial" w:cs="Arial"/>
          <w:color w:val="000000" w:themeColor="text1"/>
          <w:sz w:val="20"/>
          <w:szCs w:val="20"/>
        </w:rPr>
        <w:t>)</w:t>
      </w:r>
      <w:r w:rsidRPr="00542C53">
        <w:rPr>
          <w:rFonts w:ascii="Arial" w:eastAsia="Times New Roman" w:hAnsi="Arial" w:cs="Arial"/>
          <w:color w:val="000000" w:themeColor="text1"/>
          <w:sz w:val="20"/>
          <w:szCs w:val="20"/>
        </w:rPr>
        <w:t xml:space="preserve"> and a particular person.</w:t>
      </w:r>
    </w:p>
    <w:p w14:paraId="01FB7722" w14:textId="546698E0"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542C53">
        <w:rPr>
          <w:rFonts w:ascii="Arial" w:eastAsia="Times New Roman" w:hAnsi="Arial" w:cs="Arial"/>
          <w:b/>
          <w:color w:val="000000" w:themeColor="text1"/>
          <w:sz w:val="20"/>
          <w:szCs w:val="20"/>
        </w:rPr>
        <w:t>Bereavement</w:t>
      </w:r>
      <w:r w:rsidRPr="0016738A">
        <w:rPr>
          <w:rFonts w:ascii="Arial" w:eastAsia="Times New Roman" w:hAnsi="Arial" w:cs="Arial"/>
          <w:color w:val="000000" w:themeColor="text1"/>
          <w:sz w:val="20"/>
          <w:szCs w:val="20"/>
        </w:rPr>
        <w:t xml:space="preserve"> – Explains the company’s policy on leave for the death of a family member.</w:t>
      </w:r>
    </w:p>
    <w:p w14:paraId="2715F91E" w14:textId="6B047374"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Personal Leave of Absence</w:t>
      </w:r>
      <w:r w:rsidRPr="0016738A">
        <w:rPr>
          <w:rFonts w:ascii="Arial" w:eastAsia="Times New Roman" w:hAnsi="Arial" w:cs="Arial"/>
          <w:color w:val="000000" w:themeColor="text1"/>
          <w:sz w:val="20"/>
          <w:szCs w:val="20"/>
        </w:rPr>
        <w:t xml:space="preserve"> - Provides information on an employee’s eligibility for a </w:t>
      </w:r>
      <w:r w:rsidRPr="0016738A">
        <w:rPr>
          <w:rFonts w:ascii="Arial" w:eastAsia="Times New Roman" w:hAnsi="Arial" w:cs="Arial"/>
          <w:i/>
          <w:color w:val="000000" w:themeColor="text1"/>
          <w:sz w:val="20"/>
          <w:szCs w:val="20"/>
        </w:rPr>
        <w:t>non-medical</w:t>
      </w:r>
      <w:r w:rsidRPr="0016738A">
        <w:rPr>
          <w:rFonts w:ascii="Arial" w:eastAsia="Times New Roman" w:hAnsi="Arial" w:cs="Arial"/>
          <w:color w:val="000000" w:themeColor="text1"/>
          <w:sz w:val="20"/>
          <w:szCs w:val="20"/>
        </w:rPr>
        <w:t xml:space="preserve"> leave.</w:t>
      </w:r>
    </w:p>
    <w:p w14:paraId="1102BC5C" w14:textId="796A478F"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Tuition Assistance</w:t>
      </w:r>
      <w:r w:rsidRPr="0016738A">
        <w:rPr>
          <w:rFonts w:ascii="Arial" w:eastAsia="Times New Roman" w:hAnsi="Arial" w:cs="Arial"/>
          <w:color w:val="000000" w:themeColor="text1"/>
          <w:sz w:val="20"/>
          <w:szCs w:val="20"/>
        </w:rPr>
        <w:t xml:space="preserve"> - Provides information on the company’s policy regarding tuition reimbursement.</w:t>
      </w:r>
    </w:p>
    <w:p w14:paraId="3100D257" w14:textId="3A2CCAB6"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b/>
          <w:color w:val="000000" w:themeColor="text1"/>
          <w:sz w:val="20"/>
          <w:szCs w:val="20"/>
          <w:u w:val="single"/>
        </w:rPr>
      </w:pPr>
      <w:r w:rsidRPr="0016738A">
        <w:rPr>
          <w:rFonts w:ascii="Arial" w:eastAsia="Times New Roman" w:hAnsi="Arial" w:cs="Arial"/>
          <w:b/>
          <w:color w:val="000000" w:themeColor="text1"/>
          <w:sz w:val="20"/>
          <w:szCs w:val="20"/>
        </w:rPr>
        <w:t>Professional Development</w:t>
      </w:r>
      <w:r w:rsidRPr="0016738A">
        <w:rPr>
          <w:rFonts w:ascii="Arial" w:eastAsia="Times New Roman" w:hAnsi="Arial" w:cs="Arial"/>
          <w:color w:val="000000" w:themeColor="text1"/>
          <w:sz w:val="20"/>
          <w:szCs w:val="20"/>
        </w:rPr>
        <w:t xml:space="preserve"> – Informs employees of the company’s encouragement of participation in certain professional societies and/or attendance at job-related seminars and payment by the company of any related costs.</w:t>
      </w:r>
    </w:p>
    <w:p w14:paraId="079220EF" w14:textId="4A61EA71"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Uniforms</w:t>
      </w:r>
      <w:r w:rsidRPr="0016738A">
        <w:rPr>
          <w:rFonts w:ascii="Arial" w:eastAsia="Times New Roman" w:hAnsi="Arial" w:cs="Arial"/>
          <w:color w:val="000000" w:themeColor="text1"/>
          <w:sz w:val="20"/>
          <w:szCs w:val="20"/>
        </w:rPr>
        <w:t xml:space="preserve"> - Explains the company’s policy on providing uniforms or a uniform allowance.</w:t>
      </w:r>
    </w:p>
    <w:p w14:paraId="0C0635B0" w14:textId="4E9A50DA"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Employee Discounts</w:t>
      </w:r>
      <w:r w:rsidRPr="0016738A">
        <w:rPr>
          <w:rFonts w:ascii="Arial" w:eastAsia="Times New Roman" w:hAnsi="Arial" w:cs="Arial"/>
          <w:color w:val="000000" w:themeColor="text1"/>
          <w:sz w:val="20"/>
          <w:szCs w:val="20"/>
        </w:rPr>
        <w:t xml:space="preserve"> - Provides information on discounts of company products/services to employees.</w:t>
      </w:r>
    </w:p>
    <w:p w14:paraId="55B6DCF7" w14:textId="17153C6C"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lastRenderedPageBreak/>
        <w:t>Domestic Partner Benefits</w:t>
      </w:r>
      <w:r w:rsidRPr="0016738A">
        <w:rPr>
          <w:rFonts w:ascii="Arial" w:eastAsia="Times New Roman" w:hAnsi="Arial" w:cs="Arial"/>
          <w:color w:val="000000" w:themeColor="text1"/>
          <w:sz w:val="20"/>
          <w:szCs w:val="20"/>
        </w:rPr>
        <w:t xml:space="preserve"> - Provides information to employees who enroll domestic partners in health and insurance benefits regarding taxability and documentation required for enrollment.</w:t>
      </w:r>
    </w:p>
    <w:p w14:paraId="6347C825" w14:textId="02CF3E16" w:rsidR="000A1B5C" w:rsidRPr="0016738A" w:rsidRDefault="000A1B5C" w:rsidP="0016738A">
      <w:pPr>
        <w:pStyle w:val="ListParagraph"/>
        <w:widowControl w:val="0"/>
        <w:numPr>
          <w:ilvl w:val="0"/>
          <w:numId w:val="5"/>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Volunteer Time Off (VTO)</w:t>
      </w:r>
      <w:r w:rsidRPr="0016738A">
        <w:rPr>
          <w:rFonts w:ascii="Arial" w:eastAsia="Times New Roman" w:hAnsi="Arial" w:cs="Arial"/>
          <w:color w:val="000000" w:themeColor="text1"/>
          <w:sz w:val="20"/>
          <w:szCs w:val="20"/>
        </w:rPr>
        <w:t xml:space="preserve"> – Informs employees of the company’s encouragement to give back and support the community by taking time off to volunteer at a non-profit organization and/or or school of their choice.</w:t>
      </w:r>
    </w:p>
    <w:p w14:paraId="0688A4AB" w14:textId="77777777" w:rsidR="000A1B5C" w:rsidRDefault="000A1B5C">
      <w:pPr>
        <w:rPr>
          <w:rFonts w:ascii="Arial" w:hAnsi="Arial" w:cs="Arial"/>
          <w:sz w:val="20"/>
          <w:szCs w:val="20"/>
        </w:rPr>
      </w:pPr>
    </w:p>
    <w:p w14:paraId="3F5D48EC" w14:textId="77777777" w:rsidR="000A1B5C" w:rsidRPr="00735A63" w:rsidRDefault="000A1B5C" w:rsidP="000A1B5C">
      <w:pPr>
        <w:shd w:val="clear" w:color="auto" w:fill="FFFFFF"/>
        <w:spacing w:after="80" w:line="240" w:lineRule="auto"/>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V-Safety Policies</w:t>
      </w:r>
    </w:p>
    <w:p w14:paraId="78C35F1F" w14:textId="5B86679B"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Safety Through Teamwork</w:t>
      </w:r>
      <w:r w:rsidRPr="0016738A">
        <w:rPr>
          <w:rFonts w:ascii="Arial" w:eastAsia="Times New Roman" w:hAnsi="Arial" w:cs="Arial"/>
          <w:color w:val="000000" w:themeColor="text1"/>
          <w:sz w:val="20"/>
          <w:szCs w:val="20"/>
        </w:rPr>
        <w:t xml:space="preserve"> –Recommended for manufacturing or employees who operate machinery.</w:t>
      </w:r>
    </w:p>
    <w:p w14:paraId="7A251CD9" w14:textId="234B7D99"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Chemical Hazard Communication</w:t>
      </w:r>
      <w:r w:rsidRPr="0016738A">
        <w:rPr>
          <w:rFonts w:ascii="Arial" w:eastAsia="Times New Roman" w:hAnsi="Arial" w:cs="Arial"/>
          <w:color w:val="000000" w:themeColor="text1"/>
          <w:sz w:val="20"/>
          <w:szCs w:val="20"/>
        </w:rPr>
        <w:t xml:space="preserve"> – Explains the company policy pertaining to chemicals or hazardous materials and how to obtain SDS sheets.</w:t>
      </w:r>
    </w:p>
    <w:p w14:paraId="7CD0A2F2" w14:textId="37D41DFF"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Building Security</w:t>
      </w:r>
      <w:r w:rsidRPr="0016738A">
        <w:rPr>
          <w:rFonts w:ascii="Arial" w:eastAsia="Times New Roman" w:hAnsi="Arial" w:cs="Arial"/>
          <w:color w:val="000000" w:themeColor="text1"/>
          <w:sz w:val="20"/>
          <w:szCs w:val="20"/>
        </w:rPr>
        <w:t xml:space="preserve"> – Informs employees of the company’s policy regarding building access, visitors and items prohibited in the building.</w:t>
      </w:r>
    </w:p>
    <w:p w14:paraId="6B081054" w14:textId="447EB007"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Smoke-free (and Tobacco Free) Workplace</w:t>
      </w:r>
      <w:r w:rsidRPr="0016738A">
        <w:rPr>
          <w:rFonts w:ascii="Arial" w:eastAsia="Times New Roman" w:hAnsi="Arial" w:cs="Arial"/>
          <w:color w:val="000000" w:themeColor="text1"/>
          <w:sz w:val="20"/>
          <w:szCs w:val="20"/>
        </w:rPr>
        <w:t xml:space="preserve"> – Informs employees of the company’s policy on smoking, e-cigarettes, and other tobacco related products.</w:t>
      </w:r>
    </w:p>
    <w:p w14:paraId="2F674E71" w14:textId="5EB146A4"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Workplace Searches</w:t>
      </w:r>
      <w:r w:rsidRPr="0016738A">
        <w:rPr>
          <w:rFonts w:ascii="Arial" w:eastAsia="Times New Roman" w:hAnsi="Arial" w:cs="Arial"/>
          <w:color w:val="000000" w:themeColor="text1"/>
          <w:sz w:val="20"/>
          <w:szCs w:val="20"/>
        </w:rPr>
        <w:t xml:space="preserve"> – Informs employees of the company’s right to conduct searches of any person, vehicle or object that enters onto company property.</w:t>
      </w:r>
    </w:p>
    <w:p w14:paraId="29391C7E" w14:textId="26D985FF"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Bloodborne Pathogens</w:t>
      </w:r>
      <w:r w:rsidRPr="0016738A">
        <w:rPr>
          <w:rFonts w:ascii="Arial" w:eastAsia="Times New Roman" w:hAnsi="Arial" w:cs="Arial"/>
          <w:color w:val="000000" w:themeColor="text1"/>
          <w:sz w:val="20"/>
          <w:szCs w:val="20"/>
        </w:rPr>
        <w:t xml:space="preserve"> – Addresses OSHA requirements and directs employees to refer to the company’s bloodborne pathogens exposure control plan.</w:t>
      </w:r>
    </w:p>
    <w:p w14:paraId="0F06E6A4" w14:textId="44DF5F5D" w:rsidR="000A1B5C" w:rsidRPr="0016738A" w:rsidRDefault="000A1B5C" w:rsidP="0016738A">
      <w:pPr>
        <w:pStyle w:val="ListParagraph"/>
        <w:widowControl w:val="0"/>
        <w:numPr>
          <w:ilvl w:val="0"/>
          <w:numId w:val="6"/>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Infectious Disease</w:t>
      </w:r>
      <w:r w:rsidRPr="0016738A">
        <w:rPr>
          <w:rFonts w:ascii="Arial" w:eastAsia="Times New Roman" w:hAnsi="Arial" w:cs="Arial"/>
          <w:color w:val="000000" w:themeColor="text1"/>
          <w:sz w:val="20"/>
          <w:szCs w:val="20"/>
        </w:rPr>
        <w:t xml:space="preserve"> – Informs employees of the company’s commitment to maintain essential functions and services and provide a safe and healthy work environment for employees, </w:t>
      </w:r>
      <w:r w:rsidR="00695998" w:rsidRPr="0016738A">
        <w:rPr>
          <w:rFonts w:ascii="Arial" w:eastAsia="Times New Roman" w:hAnsi="Arial" w:cs="Arial"/>
          <w:color w:val="000000" w:themeColor="text1"/>
          <w:sz w:val="20"/>
          <w:szCs w:val="20"/>
        </w:rPr>
        <w:t>vendors,</w:t>
      </w:r>
      <w:r w:rsidRPr="0016738A">
        <w:rPr>
          <w:rFonts w:ascii="Arial" w:eastAsia="Times New Roman" w:hAnsi="Arial" w:cs="Arial"/>
          <w:color w:val="000000" w:themeColor="text1"/>
          <w:sz w:val="20"/>
          <w:szCs w:val="20"/>
        </w:rPr>
        <w:t xml:space="preserve"> and the public during a period of an infectious disease outbreak or pandemic, including establishing methods for monitoring the severity and duration of an outbreak or pandemic and implementing measures to minimize exposure in the workplace.</w:t>
      </w:r>
    </w:p>
    <w:p w14:paraId="7AD78244" w14:textId="77777777" w:rsidR="000A1B5C" w:rsidRDefault="000A1B5C">
      <w:pPr>
        <w:rPr>
          <w:rFonts w:ascii="Arial" w:hAnsi="Arial" w:cs="Arial"/>
          <w:sz w:val="20"/>
          <w:szCs w:val="20"/>
        </w:rPr>
      </w:pPr>
    </w:p>
    <w:p w14:paraId="75436D41" w14:textId="77777777" w:rsidR="000A1B5C" w:rsidRPr="00735A63" w:rsidRDefault="000A1B5C" w:rsidP="000A1B5C">
      <w:pPr>
        <w:shd w:val="clear" w:color="auto" w:fill="FFFFFF"/>
        <w:spacing w:after="80" w:line="240" w:lineRule="auto"/>
        <w:textAlignment w:val="top"/>
        <w:rPr>
          <w:rFonts w:ascii="Arial" w:eastAsia="Times New Roman" w:hAnsi="Arial" w:cs="Arial"/>
          <w:b/>
          <w:color w:val="000000" w:themeColor="text1"/>
          <w:u w:val="single"/>
        </w:rPr>
      </w:pPr>
      <w:r w:rsidRPr="00735A63">
        <w:rPr>
          <w:rFonts w:ascii="Arial" w:eastAsia="Times New Roman" w:hAnsi="Arial" w:cs="Arial"/>
          <w:b/>
          <w:color w:val="000000" w:themeColor="text1"/>
          <w:u w:val="single"/>
        </w:rPr>
        <w:t>Section VI-Employee Programs &amp; Procedures</w:t>
      </w:r>
    </w:p>
    <w:p w14:paraId="36C3462F" w14:textId="4AE87643"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Customer/Client Relations</w:t>
      </w:r>
      <w:r w:rsidRPr="0016738A">
        <w:rPr>
          <w:rFonts w:ascii="Arial" w:eastAsia="Times New Roman" w:hAnsi="Arial" w:cs="Arial"/>
          <w:color w:val="000000" w:themeColor="text1"/>
          <w:sz w:val="20"/>
          <w:szCs w:val="20"/>
        </w:rPr>
        <w:t xml:space="preserve"> – Informs employees how the treatment and impression they make on customers/clients impacts the business.</w:t>
      </w:r>
    </w:p>
    <w:p w14:paraId="7C683E61" w14:textId="294B9AB4"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Professional Attire</w:t>
      </w:r>
      <w:r w:rsidRPr="0016738A">
        <w:rPr>
          <w:rFonts w:ascii="Arial" w:eastAsia="Times New Roman" w:hAnsi="Arial" w:cs="Arial"/>
          <w:bCs/>
          <w:color w:val="000000" w:themeColor="text1"/>
          <w:sz w:val="20"/>
          <w:szCs w:val="20"/>
        </w:rPr>
        <w:t xml:space="preserve"> </w:t>
      </w:r>
      <w:r w:rsidRPr="0016738A">
        <w:rPr>
          <w:rFonts w:ascii="Arial" w:eastAsia="Times New Roman" w:hAnsi="Arial" w:cs="Arial"/>
          <w:color w:val="000000" w:themeColor="text1"/>
          <w:sz w:val="20"/>
          <w:szCs w:val="20"/>
        </w:rPr>
        <w:t>– Informs employees about the company’s guidelines for a neat and professional appearance and may be inclusive of any other dress code information that is applicable to your company.</w:t>
      </w:r>
    </w:p>
    <w:p w14:paraId="462E101D" w14:textId="287B72A7"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Recognition Awards</w:t>
      </w:r>
      <w:r w:rsidRPr="0016738A">
        <w:rPr>
          <w:rFonts w:ascii="Arial" w:eastAsia="Times New Roman" w:hAnsi="Arial" w:cs="Arial"/>
          <w:color w:val="000000" w:themeColor="text1"/>
          <w:sz w:val="20"/>
          <w:szCs w:val="20"/>
        </w:rPr>
        <w:t xml:space="preserve"> – Informs employees about service awards.</w:t>
      </w:r>
    </w:p>
    <w:p w14:paraId="702D128E" w14:textId="09A39BB2"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 xml:space="preserve">Suggestion Program </w:t>
      </w:r>
      <w:r w:rsidRPr="0016738A">
        <w:rPr>
          <w:rFonts w:ascii="Arial" w:eastAsia="Times New Roman" w:hAnsi="Arial" w:cs="Arial"/>
          <w:color w:val="000000" w:themeColor="text1"/>
          <w:sz w:val="20"/>
          <w:szCs w:val="20"/>
        </w:rPr>
        <w:t>– Explains the company’s policy on submitting and taking into consideration suggestions from employees.</w:t>
      </w:r>
    </w:p>
    <w:p w14:paraId="0C2DD29E" w14:textId="45091F6E"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Employee Referral Program</w:t>
      </w:r>
      <w:r w:rsidRPr="0016738A">
        <w:rPr>
          <w:rFonts w:ascii="Arial" w:eastAsia="Times New Roman" w:hAnsi="Arial" w:cs="Arial"/>
          <w:color w:val="000000" w:themeColor="text1"/>
          <w:sz w:val="20"/>
          <w:szCs w:val="20"/>
        </w:rPr>
        <w:t xml:space="preserve"> – Informs employees about the company’s employee referral program and guidelines for bonus payment.</w:t>
      </w:r>
    </w:p>
    <w:p w14:paraId="54F5A2C8" w14:textId="38139A30"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bCs/>
          <w:color w:val="000000" w:themeColor="text1"/>
          <w:sz w:val="20"/>
          <w:szCs w:val="20"/>
        </w:rPr>
        <w:t>Company Phones &amp; Personal Electronic Devices</w:t>
      </w:r>
      <w:r w:rsidRPr="0016738A">
        <w:rPr>
          <w:rFonts w:ascii="Arial" w:eastAsia="Times New Roman" w:hAnsi="Arial" w:cs="Arial"/>
          <w:color w:val="000000" w:themeColor="text1"/>
          <w:sz w:val="20"/>
          <w:szCs w:val="20"/>
        </w:rPr>
        <w:t xml:space="preserve"> – Informs employees about guidelines for use of company phones, personal cell phones and other electronic devices during working hours.</w:t>
      </w:r>
    </w:p>
    <w:p w14:paraId="6E72B303" w14:textId="475E2860"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Telecommuting</w:t>
      </w:r>
      <w:r w:rsidRPr="0016738A">
        <w:rPr>
          <w:rFonts w:ascii="Arial" w:eastAsia="Times New Roman" w:hAnsi="Arial" w:cs="Arial"/>
          <w:color w:val="000000" w:themeColor="text1"/>
          <w:sz w:val="20"/>
          <w:szCs w:val="20"/>
        </w:rPr>
        <w:t xml:space="preserve"> – Informs employees about the company’s policy related to telecommuting and communicates expectations for telecommuting arrangements.</w:t>
      </w:r>
    </w:p>
    <w:p w14:paraId="414A6A8F" w14:textId="6E3BD942"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Corporate Credit Cards</w:t>
      </w:r>
      <w:r w:rsidRPr="0016738A">
        <w:rPr>
          <w:rFonts w:ascii="Arial" w:eastAsia="Times New Roman" w:hAnsi="Arial" w:cs="Arial"/>
          <w:color w:val="000000" w:themeColor="text1"/>
          <w:sz w:val="20"/>
          <w:szCs w:val="20"/>
        </w:rPr>
        <w:t xml:space="preserve"> – Informs employees about the company’s policy related to the use of corporate credit cards.</w:t>
      </w:r>
    </w:p>
    <w:p w14:paraId="6364CA34" w14:textId="77777777" w:rsidR="00735A63" w:rsidRPr="00735A63" w:rsidRDefault="00735A63" w:rsidP="00735A63">
      <w:pPr>
        <w:pStyle w:val="ListParagraph"/>
        <w:widowControl w:val="0"/>
        <w:autoSpaceDE w:val="0"/>
        <w:autoSpaceDN w:val="0"/>
        <w:adjustRightInd w:val="0"/>
        <w:spacing w:after="120" w:line="240" w:lineRule="auto"/>
        <w:contextualSpacing w:val="0"/>
        <w:rPr>
          <w:rFonts w:ascii="Arial" w:eastAsia="Times New Roman" w:hAnsi="Arial" w:cs="Arial"/>
          <w:color w:val="000000" w:themeColor="text1"/>
          <w:sz w:val="20"/>
          <w:szCs w:val="20"/>
        </w:rPr>
      </w:pPr>
    </w:p>
    <w:p w14:paraId="5EE6BC26" w14:textId="335F203E"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lastRenderedPageBreak/>
        <w:t>Employment of Relatives</w:t>
      </w:r>
      <w:r w:rsidRPr="0016738A">
        <w:rPr>
          <w:rFonts w:ascii="Arial" w:eastAsia="Times New Roman" w:hAnsi="Arial" w:cs="Arial"/>
          <w:color w:val="000000" w:themeColor="text1"/>
          <w:sz w:val="20"/>
          <w:szCs w:val="20"/>
        </w:rPr>
        <w:t xml:space="preserve"> – Explains restrictions on employees supervising a family member, spouse or significant other.</w:t>
      </w:r>
    </w:p>
    <w:p w14:paraId="54CCF397" w14:textId="331CC714"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Outside Employment</w:t>
      </w:r>
      <w:r w:rsidRPr="0016738A">
        <w:rPr>
          <w:rFonts w:ascii="Arial" w:eastAsia="Times New Roman" w:hAnsi="Arial" w:cs="Arial"/>
          <w:color w:val="000000" w:themeColor="text1"/>
          <w:sz w:val="20"/>
          <w:szCs w:val="20"/>
        </w:rPr>
        <w:t xml:space="preserve"> – Advises employees that they must inform the company of their intent to accept an outside position and any potential conflict of interest.</w:t>
      </w:r>
    </w:p>
    <w:p w14:paraId="55A9D660" w14:textId="1E046EE7"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Severe Weather/Office Closings</w:t>
      </w:r>
      <w:r w:rsidRPr="0016738A">
        <w:rPr>
          <w:rFonts w:ascii="Arial" w:eastAsia="Times New Roman" w:hAnsi="Arial" w:cs="Arial"/>
          <w:color w:val="000000" w:themeColor="text1"/>
          <w:sz w:val="20"/>
          <w:szCs w:val="20"/>
        </w:rPr>
        <w:t xml:space="preserve"> – Informs employees of the company’s policy on hazardous conditions, severe weather and/or office closings.</w:t>
      </w:r>
    </w:p>
    <w:p w14:paraId="6F91F7A4" w14:textId="27E15739"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Bulletin Boards</w:t>
      </w:r>
      <w:r w:rsidRPr="0016738A">
        <w:rPr>
          <w:rFonts w:ascii="Arial" w:eastAsia="Times New Roman" w:hAnsi="Arial" w:cs="Arial"/>
          <w:color w:val="000000" w:themeColor="text1"/>
          <w:sz w:val="20"/>
          <w:szCs w:val="20"/>
        </w:rPr>
        <w:t xml:space="preserve"> – Informs employees of company bulletin board, intranet, or self-service platform where information of interest is communicated to employees.</w:t>
      </w:r>
    </w:p>
    <w:p w14:paraId="4DD63574" w14:textId="102E47FC"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Personnel Files</w:t>
      </w:r>
      <w:r w:rsidRPr="0016738A">
        <w:rPr>
          <w:rFonts w:ascii="Arial" w:eastAsia="Times New Roman" w:hAnsi="Arial" w:cs="Arial"/>
          <w:color w:val="000000" w:themeColor="text1"/>
          <w:sz w:val="20"/>
          <w:szCs w:val="20"/>
        </w:rPr>
        <w:t xml:space="preserve"> – Informs employees of the company’s procedures for requesting access to view their personnel file.</w:t>
      </w:r>
    </w:p>
    <w:p w14:paraId="2DCD8C1E" w14:textId="0FDD1F7D"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Operation of Vehicles for Company Business</w:t>
      </w:r>
      <w:r w:rsidRPr="0016738A">
        <w:rPr>
          <w:rFonts w:ascii="Arial" w:eastAsia="Times New Roman" w:hAnsi="Arial" w:cs="Arial"/>
          <w:color w:val="000000" w:themeColor="text1"/>
          <w:sz w:val="20"/>
          <w:szCs w:val="20"/>
        </w:rPr>
        <w:t xml:space="preserve"> – Recommended for employers with company vehicles or for those who have employees using personal vehicles for company business.</w:t>
      </w:r>
    </w:p>
    <w:p w14:paraId="418520BB" w14:textId="466EA784"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bCs/>
          <w:color w:val="000000" w:themeColor="text1"/>
          <w:sz w:val="20"/>
          <w:szCs w:val="20"/>
        </w:rPr>
        <w:t>Use of Company Equipment and Resources</w:t>
      </w:r>
      <w:r w:rsidRPr="0016738A">
        <w:rPr>
          <w:rFonts w:ascii="Arial" w:eastAsia="Times New Roman" w:hAnsi="Arial" w:cs="Arial"/>
          <w:color w:val="000000" w:themeColor="text1"/>
          <w:sz w:val="20"/>
          <w:szCs w:val="20"/>
        </w:rPr>
        <w:t xml:space="preserve"> – Recommended for setting expectations for employee use of company equipment and resources such as laptops, tools, or machinery.</w:t>
      </w:r>
    </w:p>
    <w:p w14:paraId="2B458ADD" w14:textId="49947621"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 xml:space="preserve">Housekeeping </w:t>
      </w:r>
      <w:r w:rsidRPr="0016738A">
        <w:rPr>
          <w:rFonts w:ascii="Arial" w:eastAsia="Times New Roman" w:hAnsi="Arial" w:cs="Arial"/>
          <w:color w:val="000000" w:themeColor="text1"/>
          <w:sz w:val="20"/>
          <w:szCs w:val="20"/>
        </w:rPr>
        <w:t>– Informs employees about maintaining clean work and break areas.</w:t>
      </w:r>
    </w:p>
    <w:p w14:paraId="25ED0D77" w14:textId="098795AA" w:rsidR="000A1B5C" w:rsidRPr="0016738A" w:rsidRDefault="000A1B5C" w:rsidP="0016738A">
      <w:pPr>
        <w:pStyle w:val="ListParagraph"/>
        <w:widowControl w:val="0"/>
        <w:numPr>
          <w:ilvl w:val="0"/>
          <w:numId w:val="7"/>
        </w:numPr>
        <w:autoSpaceDE w:val="0"/>
        <w:autoSpaceDN w:val="0"/>
        <w:adjustRightInd w:val="0"/>
        <w:spacing w:after="120" w:line="240" w:lineRule="auto"/>
        <w:contextualSpacing w:val="0"/>
        <w:rPr>
          <w:rFonts w:ascii="Arial" w:eastAsia="Times New Roman" w:hAnsi="Arial" w:cs="Arial"/>
          <w:color w:val="000000" w:themeColor="text1"/>
          <w:sz w:val="20"/>
          <w:szCs w:val="20"/>
        </w:rPr>
      </w:pPr>
      <w:r w:rsidRPr="0016738A">
        <w:rPr>
          <w:rFonts w:ascii="Arial" w:eastAsia="Times New Roman" w:hAnsi="Arial" w:cs="Arial"/>
          <w:b/>
          <w:color w:val="000000" w:themeColor="text1"/>
          <w:sz w:val="20"/>
          <w:szCs w:val="20"/>
        </w:rPr>
        <w:t>Parking</w:t>
      </w:r>
      <w:r w:rsidRPr="0016738A">
        <w:rPr>
          <w:rFonts w:ascii="Arial" w:eastAsia="Times New Roman" w:hAnsi="Arial" w:cs="Arial"/>
          <w:color w:val="000000" w:themeColor="text1"/>
          <w:sz w:val="20"/>
          <w:szCs w:val="20"/>
        </w:rPr>
        <w:t xml:space="preserve"> – Informs employees about parking guidelines.</w:t>
      </w:r>
    </w:p>
    <w:p w14:paraId="45BBE8B2" w14:textId="77777777" w:rsidR="000A1B5C" w:rsidRPr="00D9494A" w:rsidRDefault="000A1B5C">
      <w:pPr>
        <w:rPr>
          <w:rFonts w:ascii="Arial" w:hAnsi="Arial" w:cs="Arial"/>
          <w:sz w:val="20"/>
          <w:szCs w:val="20"/>
        </w:rPr>
      </w:pPr>
    </w:p>
    <w:sectPr w:rsidR="000A1B5C" w:rsidRPr="00D9494A" w:rsidSect="000A2E0F">
      <w:headerReference w:type="default" r:id="rId10"/>
      <w:footerReference w:type="default" r:id="rId11"/>
      <w:headerReference w:type="first" r:id="rId12"/>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9289" w14:textId="77777777" w:rsidR="003860D8" w:rsidRDefault="003860D8">
      <w:pPr>
        <w:spacing w:after="0" w:line="240" w:lineRule="auto"/>
      </w:pPr>
      <w:r>
        <w:separator/>
      </w:r>
    </w:p>
  </w:endnote>
  <w:endnote w:type="continuationSeparator" w:id="0">
    <w:p w14:paraId="3B398FFB" w14:textId="77777777" w:rsidR="003860D8" w:rsidRDefault="0038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7786"/>
      <w:docPartObj>
        <w:docPartGallery w:val="Page Numbers (Bottom of Page)"/>
        <w:docPartUnique/>
      </w:docPartObj>
    </w:sdtPr>
    <w:sdtEndPr>
      <w:rPr>
        <w:noProof/>
      </w:rPr>
    </w:sdtEndPr>
    <w:sdtContent>
      <w:p w14:paraId="467D9C65" w14:textId="139F052B" w:rsidR="000A2E0F" w:rsidRDefault="000A2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F0B7C" w14:textId="35C0F4D7" w:rsidR="0025522B" w:rsidRPr="00E7152B" w:rsidRDefault="003860D8" w:rsidP="00E7152B">
    <w:pPr>
      <w:pStyle w:val="Footer"/>
      <w:jc w:val="center"/>
      <w:rPr>
        <w:rFonts w:ascii="Century Gothic" w:hAnsi="Century Gothic"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AC0A" w14:textId="77777777" w:rsidR="003860D8" w:rsidRDefault="003860D8">
      <w:pPr>
        <w:spacing w:after="0" w:line="240" w:lineRule="auto"/>
      </w:pPr>
      <w:r>
        <w:separator/>
      </w:r>
    </w:p>
  </w:footnote>
  <w:footnote w:type="continuationSeparator" w:id="0">
    <w:p w14:paraId="62A0BB2B" w14:textId="77777777" w:rsidR="003860D8" w:rsidRDefault="0038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A0F0" w14:textId="77777777" w:rsidR="00606562" w:rsidRDefault="00731077" w:rsidP="00606562">
    <w:pPr>
      <w:jc w:val="right"/>
      <w:rPr>
        <w:rFonts w:ascii="Century Gothic" w:eastAsia="Verdana" w:hAnsi="Century Gothic"/>
        <w:b/>
        <w:bCs/>
        <w:sz w:val="32"/>
        <w:szCs w:val="32"/>
      </w:rPr>
    </w:pPr>
    <w:r>
      <w:rPr>
        <w:noProof/>
      </w:rPr>
      <w:drawing>
        <wp:inline distT="0" distB="0" distL="0" distR="0" wp14:anchorId="123B107C" wp14:editId="7EF41838">
          <wp:extent cx="1666875" cy="767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454" cy="7687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8900" w14:textId="77777777" w:rsidR="00606562" w:rsidRDefault="00731077" w:rsidP="00606562">
    <w:pPr>
      <w:pStyle w:val="Header"/>
      <w:jc w:val="right"/>
    </w:pPr>
    <w:r>
      <w:rPr>
        <w:noProof/>
      </w:rPr>
      <w:drawing>
        <wp:inline distT="0" distB="0" distL="0" distR="0" wp14:anchorId="75521EDE" wp14:editId="6A7714AB">
          <wp:extent cx="1666875" cy="7675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454" cy="768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507"/>
    <w:multiLevelType w:val="hybridMultilevel"/>
    <w:tmpl w:val="D414A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6ED8"/>
    <w:multiLevelType w:val="hybridMultilevel"/>
    <w:tmpl w:val="5484B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1EC7"/>
    <w:multiLevelType w:val="hybridMultilevel"/>
    <w:tmpl w:val="D93A1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F377D"/>
    <w:multiLevelType w:val="hybridMultilevel"/>
    <w:tmpl w:val="D8D01CF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1372C2"/>
    <w:multiLevelType w:val="hybridMultilevel"/>
    <w:tmpl w:val="934E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54B5C"/>
    <w:multiLevelType w:val="hybridMultilevel"/>
    <w:tmpl w:val="A8707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F25B4"/>
    <w:multiLevelType w:val="hybridMultilevel"/>
    <w:tmpl w:val="55505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C2"/>
    <w:rsid w:val="000A1B5C"/>
    <w:rsid w:val="000A2E0F"/>
    <w:rsid w:val="000C0EB6"/>
    <w:rsid w:val="0016738A"/>
    <w:rsid w:val="00185E2F"/>
    <w:rsid w:val="00187559"/>
    <w:rsid w:val="002461F2"/>
    <w:rsid w:val="002A4803"/>
    <w:rsid w:val="002C4877"/>
    <w:rsid w:val="003860D8"/>
    <w:rsid w:val="003B1908"/>
    <w:rsid w:val="003F7797"/>
    <w:rsid w:val="0042789D"/>
    <w:rsid w:val="004354C2"/>
    <w:rsid w:val="004D4A6A"/>
    <w:rsid w:val="0053519C"/>
    <w:rsid w:val="00542C53"/>
    <w:rsid w:val="00555836"/>
    <w:rsid w:val="00653FC0"/>
    <w:rsid w:val="00673C75"/>
    <w:rsid w:val="00677866"/>
    <w:rsid w:val="00695998"/>
    <w:rsid w:val="006B5DF4"/>
    <w:rsid w:val="007306DB"/>
    <w:rsid w:val="00731077"/>
    <w:rsid w:val="00735A63"/>
    <w:rsid w:val="00776DD5"/>
    <w:rsid w:val="007C4F74"/>
    <w:rsid w:val="007F6CBB"/>
    <w:rsid w:val="008C6E9B"/>
    <w:rsid w:val="008F3B19"/>
    <w:rsid w:val="0092198A"/>
    <w:rsid w:val="009521AA"/>
    <w:rsid w:val="00AA4F58"/>
    <w:rsid w:val="00AD36FE"/>
    <w:rsid w:val="00BA4672"/>
    <w:rsid w:val="00D20177"/>
    <w:rsid w:val="00D9494A"/>
    <w:rsid w:val="00E550A0"/>
    <w:rsid w:val="00FC3988"/>
    <w:rsid w:val="00FE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00F01"/>
  <w15:chartTrackingRefBased/>
  <w15:docId w15:val="{2B96B5AA-973A-4140-8F80-F83F112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4C2"/>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0"/>
      <w:szCs w:val="24"/>
    </w:rPr>
  </w:style>
  <w:style w:type="character" w:customStyle="1" w:styleId="HeaderChar">
    <w:name w:val="Header Char"/>
    <w:basedOn w:val="DefaultParagraphFont"/>
    <w:link w:val="Header"/>
    <w:uiPriority w:val="99"/>
    <w:rsid w:val="004354C2"/>
    <w:rPr>
      <w:rFonts w:ascii="Courier" w:eastAsia="Times New Roman" w:hAnsi="Courier" w:cs="Times New Roman"/>
      <w:sz w:val="20"/>
      <w:szCs w:val="24"/>
    </w:rPr>
  </w:style>
  <w:style w:type="paragraph" w:styleId="Footer">
    <w:name w:val="footer"/>
    <w:basedOn w:val="Normal"/>
    <w:link w:val="FooterChar"/>
    <w:uiPriority w:val="99"/>
    <w:unhideWhenUsed/>
    <w:rsid w:val="004354C2"/>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0"/>
      <w:szCs w:val="24"/>
    </w:rPr>
  </w:style>
  <w:style w:type="character" w:customStyle="1" w:styleId="FooterChar">
    <w:name w:val="Footer Char"/>
    <w:basedOn w:val="DefaultParagraphFont"/>
    <w:link w:val="Footer"/>
    <w:uiPriority w:val="99"/>
    <w:rsid w:val="004354C2"/>
    <w:rPr>
      <w:rFonts w:ascii="Courier" w:eastAsia="Times New Roman" w:hAnsi="Courier" w:cs="Times New Roman"/>
      <w:sz w:val="20"/>
      <w:szCs w:val="24"/>
    </w:rPr>
  </w:style>
  <w:style w:type="paragraph" w:styleId="ListParagraph">
    <w:name w:val="List Paragraph"/>
    <w:basedOn w:val="Normal"/>
    <w:uiPriority w:val="34"/>
    <w:qFormat/>
    <w:rsid w:val="007F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77DBF697CD2489086482DE6131A63" ma:contentTypeVersion="11" ma:contentTypeDescription="Create a new document." ma:contentTypeScope="" ma:versionID="2e449477f8fd994342c105f2a685c34d">
  <xsd:schema xmlns:xsd="http://www.w3.org/2001/XMLSchema" xmlns:xs="http://www.w3.org/2001/XMLSchema" xmlns:p="http://schemas.microsoft.com/office/2006/metadata/properties" xmlns:ns2="ef515623-cbd3-40f1-b849-4bc658cc60c3" xmlns:ns3="6354a221-598b-4ea2-a83e-5c810cfb34f9" targetNamespace="http://schemas.microsoft.com/office/2006/metadata/properties" ma:root="true" ma:fieldsID="702c89b262bc22a818e572a65fc3ae68" ns2:_="" ns3:_="">
    <xsd:import namespace="ef515623-cbd3-40f1-b849-4bc658cc60c3"/>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5623-cbd3-40f1-b849-4bc658cc6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A659D-3672-41A2-828A-31388B6C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5623-cbd3-40f1-b849-4bc658cc60c3"/>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B5DDB-D44B-4233-9858-BBC0835F8F58}">
  <ds:schemaRefs>
    <ds:schemaRef ds:uri="http://schemas.microsoft.com/sharepoint/v3/contenttype/forms"/>
  </ds:schemaRefs>
</ds:datastoreItem>
</file>

<file path=customXml/itemProps3.xml><?xml version="1.0" encoding="utf-8"?>
<ds:datastoreItem xmlns:ds="http://schemas.openxmlformats.org/officeDocument/2006/customXml" ds:itemID="{B400A598-6052-4588-9A42-D3C1D08EEC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Story</dc:creator>
  <cp:keywords/>
  <dc:description/>
  <cp:lastModifiedBy>Stephanie Story</cp:lastModifiedBy>
  <cp:revision>33</cp:revision>
  <dcterms:created xsi:type="dcterms:W3CDTF">2022-01-26T15:48:00Z</dcterms:created>
  <dcterms:modified xsi:type="dcterms:W3CDTF">2022-02-18T18:15:00Z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0x01010053C77DBF697CD2489086482DE6131A63</vt:lpwstr>
  </property>
</Properties>
</file>